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A05F02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72316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6661ED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843EAC">
              <w:rPr>
                <w:rFonts w:ascii="Tahoma" w:hAnsi="Tahoma" w:cs="Tahoma"/>
                <w:color w:val="000000"/>
                <w:sz w:val="14"/>
                <w:szCs w:val="14"/>
                <w:shd w:val="clear" w:color="auto" w:fill="FFFFFF"/>
                <w:lang w:val="it-IT"/>
              </w:rPr>
              <w:t>Marco Bravi, Antonio Marzocchella, Giuseppe Caputo</w:t>
            </w:r>
          </w:p>
          <w:p w14:paraId="1B0F1814" w14:textId="62155F0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723169">
              <w:rPr>
                <w:rFonts w:ascii="Tahoma" w:hAnsi="Tahoma" w:cs="Tahoma"/>
                <w:sz w:val="14"/>
                <w:szCs w:val="14"/>
              </w:rPr>
              <w:t>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6FE079F" w:rsidR="00E978D0" w:rsidRPr="00B57B36" w:rsidRDefault="00592EA9" w:rsidP="00E978D0">
      <w:pPr>
        <w:pStyle w:val="CETTitle"/>
      </w:pPr>
      <w:r w:rsidRPr="00592EA9">
        <w:t>Technical feasibility of mead production as a contribution to generate value to beekeepers in Montes de María, Colombia</w:t>
      </w:r>
    </w:p>
    <w:p w14:paraId="0488FED2" w14:textId="4E116FB7" w:rsidR="00B57E6F" w:rsidRPr="00A954E1" w:rsidRDefault="00592EA9" w:rsidP="00B57E6F">
      <w:pPr>
        <w:pStyle w:val="CETAuthors"/>
        <w:rPr>
          <w:lang w:val="es-CO"/>
        </w:rPr>
      </w:pPr>
      <w:r w:rsidRPr="00A954E1">
        <w:rPr>
          <w:lang w:val="es-CO"/>
        </w:rPr>
        <w:t>Jalelys Liceth Leones-Cerpa</w:t>
      </w:r>
      <w:r w:rsidR="00B57E6F" w:rsidRPr="00A954E1">
        <w:rPr>
          <w:vertAlign w:val="superscript"/>
          <w:lang w:val="es-CO"/>
        </w:rPr>
        <w:t>a</w:t>
      </w:r>
      <w:r w:rsidR="00B57E6F" w:rsidRPr="00A954E1">
        <w:rPr>
          <w:lang w:val="es-CO"/>
        </w:rPr>
        <w:t xml:space="preserve">, </w:t>
      </w:r>
      <w:r w:rsidRPr="00A954E1">
        <w:rPr>
          <w:lang w:val="es-CO"/>
        </w:rPr>
        <w:t>Marco Mason</w:t>
      </w:r>
      <w:r w:rsidRPr="00A954E1">
        <w:rPr>
          <w:vertAlign w:val="superscript"/>
          <w:lang w:val="es-CO"/>
        </w:rPr>
        <w:t>b</w:t>
      </w:r>
      <w:r w:rsidRPr="00A954E1">
        <w:rPr>
          <w:lang w:val="es-CO"/>
        </w:rPr>
        <w:t>, Martha María Cuenca Quicazán</w:t>
      </w:r>
      <w:r w:rsidRPr="00A954E1">
        <w:rPr>
          <w:vertAlign w:val="superscript"/>
          <w:lang w:val="es-CO"/>
        </w:rPr>
        <w:t>a</w:t>
      </w:r>
      <w:r w:rsidR="00B57E6F" w:rsidRPr="00A954E1">
        <w:rPr>
          <w:vertAlign w:val="superscript"/>
          <w:lang w:val="es-CO"/>
        </w:rPr>
        <w:t>,</w:t>
      </w:r>
      <w:r w:rsidR="00B57E6F" w:rsidRPr="00A954E1">
        <w:rPr>
          <w:lang w:val="es-CO"/>
        </w:rPr>
        <w:t>*</w:t>
      </w:r>
    </w:p>
    <w:p w14:paraId="6B2D21B3" w14:textId="64523344" w:rsidR="00B57E6F" w:rsidRPr="00592EA9" w:rsidRDefault="00B57E6F" w:rsidP="00221E13">
      <w:pPr>
        <w:pStyle w:val="CETAddress"/>
        <w:jc w:val="both"/>
        <w:rPr>
          <w:lang w:val="es-CO"/>
        </w:rPr>
      </w:pPr>
      <w:r w:rsidRPr="00592EA9">
        <w:rPr>
          <w:vertAlign w:val="superscript"/>
          <w:lang w:val="es-CO"/>
        </w:rPr>
        <w:t>a</w:t>
      </w:r>
      <w:r w:rsidR="00592EA9" w:rsidRPr="00592EA9">
        <w:rPr>
          <w:lang w:val="es-CO"/>
        </w:rPr>
        <w:t xml:space="preserve">Universidad de Cartagena, </w:t>
      </w:r>
      <w:r w:rsidR="00D00E54" w:rsidRPr="00D00E54">
        <w:rPr>
          <w:lang w:val="es-CO"/>
        </w:rPr>
        <w:t>Av. El Consulado Street 30 #48-150</w:t>
      </w:r>
      <w:r w:rsidR="00592EA9" w:rsidRPr="00592EA9">
        <w:rPr>
          <w:lang w:val="es-CO"/>
        </w:rPr>
        <w:t>, Cartagena de Indias, Bolívar, Colombia (CO)</w:t>
      </w:r>
      <w:r w:rsidR="00D00E54">
        <w:rPr>
          <w:lang w:val="es-CO"/>
        </w:rPr>
        <w:t>.</w:t>
      </w:r>
    </w:p>
    <w:p w14:paraId="3D72B0B0" w14:textId="561E8E2E" w:rsidR="00B57E6F" w:rsidRPr="00592EA9" w:rsidRDefault="00B57E6F" w:rsidP="00221E13">
      <w:pPr>
        <w:pStyle w:val="CETAddress"/>
        <w:jc w:val="both"/>
        <w:rPr>
          <w:lang w:val="es-CO"/>
        </w:rPr>
      </w:pPr>
      <w:r w:rsidRPr="00592EA9">
        <w:rPr>
          <w:vertAlign w:val="superscript"/>
          <w:lang w:val="es-CO"/>
        </w:rPr>
        <w:t>b</w:t>
      </w:r>
      <w:r w:rsidR="00592EA9" w:rsidRPr="00592EA9">
        <w:rPr>
          <w:lang w:val="es-CO"/>
        </w:rPr>
        <w:t xml:space="preserve">Universidad Nacional Abierta y a Distancia (UNAD) - </w:t>
      </w:r>
      <w:r w:rsidR="00D00E54">
        <w:rPr>
          <w:lang w:val="es-CO"/>
        </w:rPr>
        <w:t>St</w:t>
      </w:r>
      <w:r w:rsidR="00592EA9" w:rsidRPr="00592EA9">
        <w:rPr>
          <w:lang w:val="es-CO"/>
        </w:rPr>
        <w:t>. 14 S</w:t>
      </w:r>
      <w:r w:rsidR="00D00E54" w:rsidRPr="00D00E54">
        <w:rPr>
          <w:lang w:val="es-CO"/>
        </w:rPr>
        <w:t>outh</w:t>
      </w:r>
      <w:r w:rsidR="00592EA9" w:rsidRPr="00592EA9">
        <w:rPr>
          <w:lang w:val="es-CO"/>
        </w:rPr>
        <w:t xml:space="preserve"> # 14-23, Bogotá D.C., Colombia (CO)</w:t>
      </w:r>
    </w:p>
    <w:p w14:paraId="73F1267A" w14:textId="4804736A" w:rsidR="00B57E6F" w:rsidRPr="00A954E1" w:rsidRDefault="00B57E6F" w:rsidP="00B57E6F">
      <w:pPr>
        <w:pStyle w:val="CETemail"/>
        <w:rPr>
          <w:lang w:val="en-US"/>
        </w:rPr>
      </w:pPr>
      <w:r w:rsidRPr="00592EA9">
        <w:rPr>
          <w:lang w:val="es-CO"/>
        </w:rPr>
        <w:t xml:space="preserve"> </w:t>
      </w:r>
      <w:r w:rsidR="00592EA9" w:rsidRPr="00A954E1">
        <w:rPr>
          <w:lang w:val="en-US"/>
        </w:rPr>
        <w:t>mcuencaq@unicartagena.edu.co</w:t>
      </w:r>
    </w:p>
    <w:p w14:paraId="55A5B673" w14:textId="039FE8A6" w:rsidR="008C625A" w:rsidRPr="00D92C6A" w:rsidRDefault="008C625A" w:rsidP="00592EA9">
      <w:pPr>
        <w:pStyle w:val="CETBodytext"/>
        <w:rPr>
          <w:color w:val="000000" w:themeColor="text1"/>
          <w:lang w:val="en-GB"/>
        </w:rPr>
      </w:pPr>
      <w:r w:rsidRPr="008C625A">
        <w:rPr>
          <w:color w:val="000000" w:themeColor="text1"/>
          <w:lang w:val="en-GB"/>
        </w:rPr>
        <w:t>Montes de María is one of the subregions with the highest honey production rates in Colombia. Despite this, most of it is sold in bulk, without differentiation, which leads to a lower sales price. Beekeepers recognize that the honeys collected come from different geographical and botanical origins and have different characteristics. However, they believe these will not be accepted by consumers, so they sell it at low prices. In Montes de María, there is a beekeepers' cooperative called the Multiactive Cooperative of Organic Beekeepers Montes de María (Cooapomiel). This organization produces, purchases, and sells honey, beekeeping materials, and technical services. In this article, the fermentation process to obtain mead with honey from Montes de María was evaluated. Three different types of honey (from different geographical origins) and two commercial yeasts (</w:t>
      </w:r>
      <w:r w:rsidRPr="005C216D">
        <w:rPr>
          <w:i/>
          <w:iCs/>
          <w:color w:val="000000" w:themeColor="text1"/>
          <w:lang w:val="en-GB"/>
        </w:rPr>
        <w:t>S. cerevisiae</w:t>
      </w:r>
      <w:r w:rsidRPr="008C625A">
        <w:rPr>
          <w:color w:val="000000" w:themeColor="text1"/>
          <w:lang w:val="en-GB"/>
        </w:rPr>
        <w:t xml:space="preserve">) were used. Brix degrees during the fermentation process were measured. All fermentations started with a must of 24°Bx. After 548 hours at 23°C, all musts reached 8.8 and 10.3 °Bx. One of the yeasts showed slightly faster fermentation, mainly due to its </w:t>
      </w:r>
      <w:proofErr w:type="spellStart"/>
      <w:r w:rsidRPr="008C625A">
        <w:rPr>
          <w:color w:val="000000" w:themeColor="text1"/>
          <w:lang w:val="en-GB"/>
        </w:rPr>
        <w:t>fructophilic</w:t>
      </w:r>
      <w:proofErr w:type="spellEnd"/>
      <w:r w:rsidRPr="008C625A">
        <w:rPr>
          <w:color w:val="000000" w:themeColor="text1"/>
          <w:lang w:val="en-GB"/>
        </w:rPr>
        <w:t xml:space="preserve"> capacity. The alcoholic content and volatile acidity were within the range of Colombian regulations for wine-type beverages. All parameters showed variation due to fermentation time. In the future, mead production can be performed by Cooapomiel. Mead quality from this research, investment necessity, and possible commercial partners must be considered.</w:t>
      </w:r>
    </w:p>
    <w:p w14:paraId="476B2F2E" w14:textId="77777777" w:rsidR="00600535" w:rsidRPr="00B57B36" w:rsidRDefault="00600535" w:rsidP="00600535">
      <w:pPr>
        <w:pStyle w:val="CETHeading1"/>
        <w:rPr>
          <w:lang w:val="en-GB"/>
        </w:rPr>
      </w:pPr>
      <w:r w:rsidRPr="00B57B36">
        <w:rPr>
          <w:lang w:val="en-GB"/>
        </w:rPr>
        <w:t>Introduction</w:t>
      </w:r>
    </w:p>
    <w:p w14:paraId="3A3FEEC8" w14:textId="7E5DCEC4" w:rsidR="008F0DF9" w:rsidRDefault="008F0DF9" w:rsidP="00590E66">
      <w:pPr>
        <w:pStyle w:val="CETBodytext"/>
      </w:pPr>
      <w:r w:rsidRPr="008F0DF9">
        <w:t>Beekeeping has experienced significant growth and development in Colombia</w:t>
      </w:r>
      <w:r w:rsidR="00A745A9">
        <w:t>:</w:t>
      </w:r>
      <w:r w:rsidRPr="008F0DF9">
        <w:t xml:space="preserve"> substantial increase in honey production and the number of hives established in various regions of the country </w:t>
      </w:r>
      <w:r>
        <w:fldChar w:fldCharType="begin" w:fldLock="1"/>
      </w:r>
      <w:r>
        <w:instrText>ADDIN CSL_CITATION {"citationItems":[{"id":"ITEM-1","itemData":{"URL":"https://sioc.minagricultura.gov.co/Apicola/Documentos/2020-09-30 Cifras Sectoriales.pdf","accessed":{"date-parts":[["2023","12","29"]]},"author":[{"dropping-particle":"","family":"Ministry of Agriculture and Rural Development of Colombia (MADR)","given":"","non-dropping-particle":"","parse-names":false,"suffix":""}],"id":"ITEM-1","issued":{"date-parts":[["2020"]]},"page":"16","title":"Bee and Beekeeping Chain","type":"webpage"},"uris":["http://www.mendeley.com/documents/?uuid=569b3bfc-1e1a-423c-b01b-40a3a52870a5"]}],"mendeley":{"formattedCitation":"(Ministry of Agriculture and Rural Development of Colombia (MADR), 2020)","plainTextFormattedCitation":"(Ministry of Agriculture and Rural Development of Colombia (MADR), 2020)","previouslyFormattedCitation":"(Ministry of Agriculture and Rural Development of Colombia (MADR), 2020)"},"properties":{"noteIndex":0},"schema":"https://github.com/citation-style-language/schema/raw/master/csl-citation.json"}</w:instrText>
      </w:r>
      <w:r>
        <w:fldChar w:fldCharType="separate"/>
      </w:r>
      <w:r w:rsidRPr="003574DC">
        <w:rPr>
          <w:noProof/>
        </w:rPr>
        <w:t>(Ministry of Agriculture and Rural Development of Colombia (MADR), 2020)</w:t>
      </w:r>
      <w:r>
        <w:fldChar w:fldCharType="end"/>
      </w:r>
      <w:r>
        <w:t>.</w:t>
      </w:r>
      <w:r w:rsidRPr="008F0DF9">
        <w:t xml:space="preserve"> There are different beekeepers' associations in Colombia that have extensive experience in bee management. Additionally, in the Colombian Caribbean Region, there are several beekeepers' cooperatives, such as the Multiactive Cooperative of Organic Beekeepers Montes de María (Cooapomiel).</w:t>
      </w:r>
    </w:p>
    <w:p w14:paraId="51F66D85" w14:textId="77777777" w:rsidR="008F0DF9" w:rsidRDefault="008F0DF9" w:rsidP="00590E66">
      <w:pPr>
        <w:pStyle w:val="CETBodytext"/>
      </w:pPr>
    </w:p>
    <w:p w14:paraId="384B3A76" w14:textId="447282B2" w:rsidR="009D2169" w:rsidRDefault="009D2169" w:rsidP="009D2169">
      <w:pPr>
        <w:pStyle w:val="CETBodytext"/>
      </w:pPr>
      <w:r w:rsidRPr="009D2169">
        <w:t xml:space="preserve">The Caribbean region boasts a wide range of natural resources that significantly contribute to its development potential </w:t>
      </w:r>
      <w:r>
        <w:fldChar w:fldCharType="begin" w:fldLock="1"/>
      </w:r>
      <w:r>
        <w:instrText>ADDIN CSL_CITATION {"citationItems":[{"id":"ITEM-1","itemData":{"author":[{"dropping-particle":"","family":"Mercado-Gómez","given":"Yarlenis","non-dropping-particle":"","parse-names":false,"suffix":""},{"dropping-particle":"","family":"Mercado-Gómez","given":"Jorge","non-dropping-particle":"","parse-names":false,"suffix":""},{"dropping-particle":"","family":"Giraldo-Sánchez","given":"Carlos","non-dropping-particle":"","parse-names":false,"suffix":""}],"container-title":"Ciencia en Desarrollo","id":"ITEM-1","issue":"2","issued":{"date-parts":[["2018"]]},"page":"35-45","title":"Butterflies in tropical dry forest fragment at Montes of Maria (Colombia)","type":"article-journal","volume":"9"},"uris":["http://www.mendeley.com/documents/?uuid=8c29b996-d7d2-4970-85b6-ba561deed56a"]}],"mendeley":{"formattedCitation":"(Mercado-Gómez et al., 2018)","plainTextFormattedCitation":"(Mercado-Gómez et al., 2018)","previouslyFormattedCitation":"(Mercado-Gómez et al., 2018)"},"properties":{"noteIndex":0},"schema":"https://github.com/citation-style-language/schema/raw/master/csl-citation.json"}</w:instrText>
      </w:r>
      <w:r>
        <w:fldChar w:fldCharType="separate"/>
      </w:r>
      <w:r w:rsidRPr="006752BD">
        <w:rPr>
          <w:noProof/>
        </w:rPr>
        <w:t>(Mercado-Gómez et al., 2018)</w:t>
      </w:r>
      <w:r>
        <w:fldChar w:fldCharType="end"/>
      </w:r>
      <w:r w:rsidRPr="00732677">
        <w:t>.</w:t>
      </w:r>
      <w:r>
        <w:t xml:space="preserve"> </w:t>
      </w:r>
      <w:r w:rsidRPr="009D2169">
        <w:t>The Montes de María sub-region, strategically located between the Bol</w:t>
      </w:r>
      <w:r w:rsidR="00C84D6E">
        <w:t>i</w:t>
      </w:r>
      <w:r w:rsidRPr="009D2169">
        <w:t>var and Sucre departments, has long faced numerous challenges</w:t>
      </w:r>
      <w:r w:rsidR="00C84D6E">
        <w:t xml:space="preserve">: </w:t>
      </w:r>
      <w:r w:rsidRPr="009D2169">
        <w:t xml:space="preserve">low levels of economic development, widespread violence, rampant insecurity, government neglect, and the problem of land concentration </w:t>
      </w:r>
      <w:r>
        <w:fldChar w:fldCharType="begin" w:fldLock="1"/>
      </w:r>
      <w:r>
        <w:instrText>ADDIN CSL_CITATION {"citationItems":[{"id":"ITEM-1","itemData":{"DOI":"10.17151/eleu.2022.24.1.8","author":[{"dropping-particle":"","family":"Ortegón","given":"Twiggy Malena","non-dropping-particle":"","parse-names":false,"suffix":""},{"dropping-particle":"","family":"Vinaccia","given":"Stefano","non-dropping-particle":"","parse-names":false,"suffix":""},{"dropping-particle":"","family":"Quiceno","given":"Japcy Margarita","non-dropping-particle":"","parse-names":false,"suffix":""},{"dropping-particle":"","family":"Capira","given":"Andrea","non-dropping-particle":"","parse-names":false,"suffix":""},{"dropping-particle":"","family":"Cerra","given":"David","non-dropping-particle":"","parse-names":false,"suffix":""},{"dropping-particle":"","family":"Bernal","given":"Soraya","non-dropping-particle":"","parse-names":false,"suffix":""}],"container-title":"Revista eleuthera","id":"ITEM-1","issue":"1","issued":{"date-parts":[["2022"]]},"page":"158-178","title":"Social support, resilience, perceived stress, post-traumatic stress, anxiety, depression and health-related quality of life in community leader’s victims of the armed conflict in Montes de Maria, Sucre, Colombia","type":"article-journal","volume":"24"},"uris":["http://www.mendeley.com/documents/?uuid=6569c10d-3155-4695-b250-a352afe3ee36"]}],"mendeley":{"formattedCitation":"(Ortegón et al., 2022)","plainTextFormattedCitation":"(Ortegón et al., 2022)","previouslyFormattedCitation":"(Ortegón et al., 2022)"},"properties":{"noteIndex":0},"schema":"https://github.com/citation-style-language/schema/raw/master/csl-citation.json"}</w:instrText>
      </w:r>
      <w:r>
        <w:fldChar w:fldCharType="separate"/>
      </w:r>
      <w:r w:rsidRPr="00335E77">
        <w:rPr>
          <w:noProof/>
        </w:rPr>
        <w:t>(Ortegón et al., 2022)</w:t>
      </w:r>
      <w:r>
        <w:fldChar w:fldCharType="end"/>
      </w:r>
      <w:r w:rsidRPr="00732677">
        <w:t>.</w:t>
      </w:r>
      <w:r>
        <w:t xml:space="preserve"> </w:t>
      </w:r>
      <w:proofErr w:type="spellStart"/>
      <w:r w:rsidR="00B01836">
        <w:t>E</w:t>
      </w:r>
      <w:r w:rsidRPr="009D2169">
        <w:t>economy</w:t>
      </w:r>
      <w:proofErr w:type="spellEnd"/>
      <w:r w:rsidRPr="009D2169">
        <w:t xml:space="preserve"> of the Montes de María sub-region is heavily dependent on a variety of activities, including cattle raising, beekeeping, cassava, yams, corn, rice, plantains, tobacco, coffee, avocado, and oil palm cultivation </w:t>
      </w:r>
      <w:r>
        <w:fldChar w:fldCharType="begin" w:fldLock="1"/>
      </w:r>
      <w:r>
        <w:instrText>ADDIN CSL_CITATION {"citationItems":[{"id":"ITEM-1","itemData":{"DOI":"10.1016/j.ihe.2016.10.001","author":[{"dropping-particle":"","family":"Colmenares Guerra","given":"Santiago","non-dropping-particle":"","parse-names":false,"suffix":""}],"container-title":"Investigaciones de Historia Económica","id":"ITEM-1","issue":"3","issued":{"date-parts":[["2018"]]},"page":"174-187","title":"Credit, coercion and workforce loyalty in a border agricultural exporter: Montes de María (Colombia), 1850-1914","type":"article-journal","volume":"14"},"uris":["http://www.mendeley.com/documents/?uuid=6f00317e-a2cd-4267-9720-6d8d679eae3a"]}],"mendeley":{"formattedCitation":"(Colmenares Guerra, 2018)","plainTextFormattedCitation":"(Colmenares Guerra, 2018)","previouslyFormattedCitation":"(Colmenares Guerra, 2018)"},"properties":{"noteIndex":0},"schema":"https://github.com/citation-style-language/schema/raw/master/csl-citation.json"}</w:instrText>
      </w:r>
      <w:r>
        <w:fldChar w:fldCharType="separate"/>
      </w:r>
      <w:r w:rsidRPr="00335E77">
        <w:rPr>
          <w:noProof/>
        </w:rPr>
        <w:t>(Colmenares Guerra, 2018)</w:t>
      </w:r>
      <w:r>
        <w:fldChar w:fldCharType="end"/>
      </w:r>
      <w:r w:rsidRPr="00732677">
        <w:t>.</w:t>
      </w:r>
      <w:r>
        <w:t xml:space="preserve"> </w:t>
      </w:r>
    </w:p>
    <w:p w14:paraId="7676E7B4" w14:textId="390E9FF4" w:rsidR="009D2169" w:rsidRDefault="009D2169" w:rsidP="00600535">
      <w:pPr>
        <w:pStyle w:val="CETBodytext"/>
      </w:pPr>
    </w:p>
    <w:p w14:paraId="59BFC859" w14:textId="3D048646" w:rsidR="00405ABF" w:rsidRDefault="00405ABF" w:rsidP="00600535">
      <w:pPr>
        <w:pStyle w:val="CETBodytext"/>
      </w:pPr>
      <w:r w:rsidRPr="00405ABF">
        <w:t xml:space="preserve">Beekeeping practice is progressively becoming one of the main economic pillars in the Colombian Caribbean region. Despite the notable expansion of beekeeping activities in the municipalities of Montes de María, its importance as a sustainable productive force has largely been overlooked </w:t>
      </w:r>
      <w:r>
        <w:fldChar w:fldCharType="begin" w:fldLock="1"/>
      </w:r>
      <w:r>
        <w:instrText>ADDIN CSL_CITATION {"citationItems":[{"id":"ITEM-1","itemData":{"DOI":"10.3303/CET23102029","ISBN":"9791281206014","ISSN":"22839216","abstract":"The innovative technologies of precision agriculture can be applied to beekeeping, a very important sector both from an environmental and production point of view. Bees are responsible, through pollination, for the reproduction of numerous plants guaranteeing biodiversity and providing a final product, honey, highly energetic and with high health properties. Today, sensors applied to the hives can be used to obtain information on the colony phenology in the field, disturbing them as little as possible, allowing the construction of forecast models to control their health state and production increase. The Department of Agricultural, Food and Forest Sciences of the University of Palermo developed a WNS-type system for continuously monitoring and controlling the main environmental factors, both inside and outside the hive, in order to evaluate their influence on daily honey production. The novel system allows to identify any critical points in honey production recording environmental, sound and production data and real time transmitting them to the operators, accessing a specifically created web interface. The results of the study represent the basis for a precision hive management model that can be applied in different environmental conditions to optimize honey production.","author":[{"dropping-particle":"","family":"Vallone","given":"Mariangela","non-dropping-particle":"","parse-names":false,"suffix":""},{"dropping-particle":"","family":"Orlando","given":"Santo","non-dropping-particle":"","parse-names":false,"suffix":""},{"dropping-particle":"","family":"Alleri","given":"Maria","non-dropping-particle":"","parse-names":false,"suffix":""},{"dropping-particle":"V.","family":"Ferro","given":"Massimo","non-dropping-particle":"","parse-names":false,"suffix":""},{"dropping-particle":"","family":"Catania","given":"Pietro","non-dropping-particle":"","parse-names":false,"suffix":""}],"container-title":"Chemical Engineering Transactions","id":"ITEM-1","issued":{"date-parts":[["2023"]]},"page":"169-174","title":"Honey Production with Remote Smart Monitoring System","type":"article-journal","volume":"102"},"uris":["http://www.mendeley.com/documents/?uuid=1598ad9d-9850-4c4c-a720-7140301cfda2"]}],"mendeley":{"formattedCitation":"(Vallone et al., 2023)","plainTextFormattedCitation":"(Vallone et al., 2023)","previouslyFormattedCitation":"(Vallone et al., 2023)"},"properties":{"noteIndex":0},"schema":"https://github.com/citation-style-language/schema/raw/master/csl-citation.json"}</w:instrText>
      </w:r>
      <w:r>
        <w:fldChar w:fldCharType="separate"/>
      </w:r>
      <w:r w:rsidRPr="00FA632A">
        <w:rPr>
          <w:noProof/>
        </w:rPr>
        <w:t>(Vallone et al., 2023)</w:t>
      </w:r>
      <w:r>
        <w:fldChar w:fldCharType="end"/>
      </w:r>
      <w:r>
        <w:t xml:space="preserve">. </w:t>
      </w:r>
      <w:r w:rsidRPr="00405ABF">
        <w:t xml:space="preserve">This growth is closely linked to the diligent efforts of local farmers and the pollination process of flourishing crops, fruit trees, and honey flora </w:t>
      </w:r>
      <w:r>
        <w:fldChar w:fldCharType="begin" w:fldLock="1"/>
      </w:r>
      <w:r>
        <w:instrText>ADDIN CSL_CITATION {"citationItems":[{"id":"ITEM-1","itemData":{"DOI":"10.1016/j.scitotenv.2019.133795","ISSN":"18791026","abstract":"The beekeeper plays a key role in maintaining the health status of managed honey bee colonies and ensuring their productivity. However, a clear overview on the main actions carried out by beekeepers and their role for the successful management of honey bees is only partially addressed. In this study, we aim at providing: i) a generalized conceptual framework for the characterization of the Beekeeping Management Practices carried out by the European beekeepers and ii) the definition of their influence on the overall status of the honey bee colony. Six Beekeeping Management Practices were selected in this study: chemical control; replacement of combs with brood; replacement of combs with feed sources; supplementary feeding; change in the number of workers; beekeeper category and experience. Each Beekeeping Management Practice was characterized in relation to: i) the elements guiding their application, ii) the potential impacts on a honey bee colony and iii) the scenario-based variables that might influence their timing, frequency and/or efficiency. We performed an extensive literature review and an Expert Knowledge Elicitation procedure in order to estimate the uncertainty linked to some major parameters. In this paper, we successfully developed and applied a conceptual framework defining the actions carried out by European beekeepers and quantifying their impacts to a honey bee colony. The conceptual framework might support the definition of realistic scenarios of Beekeeping Management Practices in Europe for the assessment and management of the risks linked to honey bee colonies considering the potential role of the beekeeper.","author":[{"dropping-particle":"","family":"Sperandio","given":"Giorgio","non-dropping-particle":"","parse-names":false,"suffix":""},{"dropping-particle":"","family":"Simonetto","given":"Anna","non-dropping-particle":"","parse-names":false,"suffix":""},{"dropping-particle":"","family":"Carnesecchi","given":"Edoardo","non-dropping-particle":"","parse-names":false,"suffix":""},{"dropping-particle":"","family":"Costa","given":"Cecilia","non-dropping-particle":"","parse-names":false,"suffix":""},{"dropping-particle":"","family":"Hatjina","given":"Fani","non-dropping-particle":"","parse-names":false,"suffix":""},{"dropping-particle":"","family":"Tosi","given":"Simone","non-dropping-particle":"","parse-names":false,"suffix":""},{"dropping-particle":"","family":"Gilioli","given":"Gianni","non-dropping-particle":"","parse-names":false,"suffix":""}],"container-title":"Science of the Total Environment","id":"ITEM-1","issued":{"date-parts":[["2019"]]},"page":"1-12","publisher":"Elsevier B.V.","title":"Beekeeping and honey bee colony health: A review and conceptualization of beekeeping management practices implemented in Europe","type":"article-journal","volume":"696"},"uris":["http://www.mendeley.com/documents/?uuid=bf524e5e-6dab-4090-a4bb-a7429bcc5c5e"]}],"mendeley":{"formattedCitation":"(Sperandio et al., 2019)","plainTextFormattedCitation":"(Sperandio et al., 2019)","previouslyFormattedCitation":"(Sperandio et al., 2019)"},"properties":{"noteIndex":0},"schema":"https://github.com/citation-style-language/schema/raw/master/csl-citation.json"}</w:instrText>
      </w:r>
      <w:r>
        <w:fldChar w:fldCharType="separate"/>
      </w:r>
      <w:r w:rsidRPr="00CE458D">
        <w:rPr>
          <w:noProof/>
        </w:rPr>
        <w:t>(Sperandio et al., 2019)</w:t>
      </w:r>
      <w:r>
        <w:fldChar w:fldCharType="end"/>
      </w:r>
      <w:r w:rsidRPr="00281424">
        <w:t>.</w:t>
      </w:r>
      <w:r>
        <w:t xml:space="preserve"> </w:t>
      </w:r>
      <w:r w:rsidRPr="00405ABF">
        <w:t xml:space="preserve">As a result, the region currently boasts one of the highest honey production rates in Colombia. Although official data is lacking, associations report a production of around 900 tons of honey for 2018 in the Montes de María </w:t>
      </w:r>
      <w:r>
        <w:fldChar w:fldCharType="begin" w:fldLock="1"/>
      </w:r>
      <w:r>
        <w:instrText>ADDIN CSL_CITATION {"citationItems":[{"id":"ITEM-1","itemData":{"URL":"https://sioc.minagricultura.gov.co/Apicola/Documentos/2020-09-30 Cifras Sectoriales.pdf","accessed":{"date-parts":[["2023","12","29"]]},"author":[{"dropping-particle":"","family":"Ministry of Agriculture and Rural Development of Colombia (MADR)","given":"","non-dropping-particle":"","parse-names":false,"suffix":""}],"id":"ITEM-1","issued":{"date-parts":[["2020"]]},"page":"16","title":"Bee and Beekeeping Chain","type":"webpage"},"uris":["http://www.mendeley.com/documents/?uuid=569b3bfc-1e1a-423c-b01b-40a3a52870a5"]}],"mendeley":{"formattedCitation":"(Ministry of Agriculture and Rural Development of Colombia (MADR), 2020)","plainTextFormattedCitation":"(Ministry of Agriculture and Rural Development of Colombia (MADR), 2020)","previouslyFormattedCitation":"(Ministry of Agriculture and Rural Development of Colombia (MADR), 2020)"},"properties":{"noteIndex":0},"schema":"https://github.com/citation-style-language/schema/raw/master/csl-citation.json"}</w:instrText>
      </w:r>
      <w:r>
        <w:fldChar w:fldCharType="separate"/>
      </w:r>
      <w:r w:rsidRPr="00644BDC">
        <w:rPr>
          <w:noProof/>
        </w:rPr>
        <w:t xml:space="preserve">(Ministry of Agriculture and Rural Development of Colombia </w:t>
      </w:r>
      <w:r w:rsidRPr="00644BDC">
        <w:rPr>
          <w:noProof/>
        </w:rPr>
        <w:lastRenderedPageBreak/>
        <w:t>(MADR), 2020)</w:t>
      </w:r>
      <w:r>
        <w:fldChar w:fldCharType="end"/>
      </w:r>
      <w:r w:rsidRPr="00405ABF">
        <w:t>. However, most honey is marketed without any type of distinction</w:t>
      </w:r>
      <w:r w:rsidR="0059551D">
        <w:t>. It implies a</w:t>
      </w:r>
      <w:r w:rsidRPr="00405ABF">
        <w:t xml:space="preserve"> decrease in the sales price </w:t>
      </w:r>
      <w:r>
        <w:fldChar w:fldCharType="begin" w:fldLock="1"/>
      </w:r>
      <w:r>
        <w:instrText>ADDIN CSL_CITATION {"citationItems":[{"id":"ITEM-1","itemData":{"URL":"https://sioc.minagricultura.gov.co/Apicola/Documentos/2020-09-30 Cifras Sectoriales.pdf","accessed":{"date-parts":[["2023","12","29"]]},"author":[{"dropping-particle":"","family":"Ministry of Agriculture and Rural Development of Colombia (MADR)","given":"","non-dropping-particle":"","parse-names":false,"suffix":""}],"id":"ITEM-1","issued":{"date-parts":[["2020"]]},"page":"16","title":"Bee and Beekeeping Chain","type":"webpage"},"uris":["http://www.mendeley.com/documents/?uuid=569b3bfc-1e1a-423c-b01b-40a3a52870a5"]}],"mendeley":{"formattedCitation":"(Ministry of Agriculture and Rural Development of Colombia (MADR), 2020)","plainTextFormattedCitation":"(Ministry of Agriculture and Rural Development of Colombia (MADR), 2020)","previouslyFormattedCitation":"(Ministry of Agriculture and Rural Development of Colombia (MADR), 2020)"},"properties":{"noteIndex":0},"schema":"https://github.com/citation-style-language/schema/raw/master/csl-citation.json"}</w:instrText>
      </w:r>
      <w:r>
        <w:fldChar w:fldCharType="separate"/>
      </w:r>
      <w:r w:rsidRPr="00644BDC">
        <w:rPr>
          <w:noProof/>
        </w:rPr>
        <w:t>(Ministry of Agriculture and Rural Development of Colombia (MADR), 2020)</w:t>
      </w:r>
      <w:r>
        <w:fldChar w:fldCharType="end"/>
      </w:r>
      <w:r>
        <w:t>.</w:t>
      </w:r>
      <w:r w:rsidRPr="00405ABF">
        <w:t xml:space="preserve">This </w:t>
      </w:r>
      <w:r w:rsidR="000775D8">
        <w:t xml:space="preserve">is not the right compensation due to </w:t>
      </w:r>
      <w:r w:rsidRPr="00405ABF">
        <w:t>arduous efforts undertaken by beekeepers, considering the environmental, geographical circumstances, and behavior of bees, particularly their aggressiveness.</w:t>
      </w:r>
    </w:p>
    <w:p w14:paraId="1D5D3CE0" w14:textId="77777777" w:rsidR="00405ABF" w:rsidRDefault="00405ABF" w:rsidP="00600535">
      <w:pPr>
        <w:pStyle w:val="CETBodytext"/>
      </w:pPr>
    </w:p>
    <w:p w14:paraId="7585F9E8" w14:textId="034B43E1" w:rsidR="00C478B0" w:rsidRDefault="00C478B0" w:rsidP="00600535">
      <w:pPr>
        <w:pStyle w:val="CETBodytext"/>
        <w:rPr>
          <w:lang w:val="en-GB"/>
        </w:rPr>
      </w:pPr>
      <w:r w:rsidRPr="00C478B0">
        <w:t xml:space="preserve">Honey has been significantly utilized as the primary substrate for manufacturing mead through the alcoholic fermentation process using various strains of yeast </w:t>
      </w:r>
      <w:r>
        <w:rPr>
          <w:lang w:val="en-GB"/>
        </w:rPr>
        <w:fldChar w:fldCharType="begin" w:fldLock="1"/>
      </w:r>
      <w:r>
        <w:rPr>
          <w:lang w:val="en-GB"/>
        </w:rPr>
        <w:instrText>ADDIN CSL_CITATION {"citationItems":[{"id":"ITEM-1","itemData":{"DOI":"10.1080/03610470.2021.1966590","author":[{"dropping-particle":"","family":"Cuenca","given":"Martha","non-dropping-particle":"","parse-names":false,"suffix":""},{"dropping-particle":"","family":"Blanco","given":"Amaury","non-dropping-particle":"","parse-names":false,"suffix":""},{"dropping-particle":"","family":"Quicazán","given":"Marta","non-dropping-particle":"","parse-names":false,"suffix":""},{"dropping-particle":"","family":"Zuluaga-Domínguez","given":"Carlos","non-dropping-particle":"","parse-names":false,"suffix":""}],"container-title":"Journal of the American Society of Brewing Chemists","id":"ITEM-1","issue":"3","issued":{"date-parts":[["2022"]]},"page":"248-257","title":"Optimization and Kinetic Modeling of Honey Fermentation for Laboratory and Pilot-Scale Mead Production","type":"article-journal","volume":"80"},"uris":["http://www.mendeley.com/documents/?uuid=ed444fd6-3909-41ba-85c6-9ed1702230c2"]}],"mendeley":{"formattedCitation":"(Cuenca et al., 2022)","plainTextFormattedCitation":"(Cuenca et al., 2022)","previouslyFormattedCitation":"(Cuenca et al., 2022)"},"properties":{"noteIndex":0},"schema":"https://github.com/citation-style-language/schema/raw/master/csl-citation.json"}</w:instrText>
      </w:r>
      <w:r>
        <w:rPr>
          <w:lang w:val="en-GB"/>
        </w:rPr>
        <w:fldChar w:fldCharType="separate"/>
      </w:r>
      <w:r w:rsidRPr="00590E66">
        <w:rPr>
          <w:noProof/>
          <w:lang w:val="en-GB"/>
        </w:rPr>
        <w:t>(Cuenca et al., 2022)</w:t>
      </w:r>
      <w:r>
        <w:rPr>
          <w:lang w:val="en-GB"/>
        </w:rPr>
        <w:fldChar w:fldCharType="end"/>
      </w:r>
      <w:r>
        <w:rPr>
          <w:lang w:val="en-GB"/>
        </w:rPr>
        <w:t xml:space="preserve">. </w:t>
      </w:r>
      <w:r w:rsidRPr="00C478B0">
        <w:t xml:space="preserve">Mead, also known as honey wine, is an alcoholic beverage produced through the fermentation of honey diluted in water with other nutrients such as bee pollen, traditionally using the yeast </w:t>
      </w:r>
      <w:r w:rsidRPr="00C478B0">
        <w:rPr>
          <w:i/>
          <w:iCs/>
        </w:rPr>
        <w:t>Saccharomyces cerevisiae</w:t>
      </w:r>
      <w:r w:rsidRPr="00C478B0">
        <w:t xml:space="preserve"> </w:t>
      </w:r>
      <w:r>
        <w:rPr>
          <w:lang w:val="en-GB"/>
        </w:rPr>
        <w:fldChar w:fldCharType="begin" w:fldLock="1"/>
      </w:r>
      <w:r>
        <w:rPr>
          <w:lang w:val="en-GB"/>
        </w:rPr>
        <w:instrText>ADDIN CSL_CITATION {"citationItems":[{"id":"ITEM-1","itemData":{"DOI":"10.1016/j.tifs.2020.09.006","ISSN":"09242244","abstract":"Background: Mead is a traditional alcoholic beverage obtained by fermentation of mead wort and is popularly produced at home and/or in small meaderies. Different types of mead can be distinguished based on honey-to-water ratio, addition of spices and/or fruits, and the method of wort preparation. The consumption of mead has gained popularity in Europe owing to the presence of its natural and high-quality compounds. As a result, mead production has remarkably increased during the past years, and increasing attention has been paid to improve its production parameters. Scope and approach: In the first part of this comprehensive review, general aspects of mead production and the characteristic parameters of alcoholic beverages, including organic acid content, pH value, ethanol content, titratable acidity, volatile acidity, and residual sugar content are discussed. In the second part, the aroma profile and sensory acceptability of mead, including parameters that might influence the characteristic aroma of mead, is presented. Key findings and conclusions: The flavor of mead mainly depends on the type of honey used for fermentation, and the analysis of odorants is one of the most important criteria in the quality evaluation of mead. In addition, the presence of hydroxymethylfurfural, one of the major Maillard reaction products, and of phenolic compounds is related to the type of honey used. Furthermore, the antioxidant activity of mead significantly correlates with the type and amount of honey used for mead preparation.","author":[{"dropping-particle":"","family":"Starowicz","given":"Małgorzata","non-dropping-particle":"","parse-names":false,"suffix":""},{"dropping-particle":"","family":"Granvogl","given":"Michael","non-dropping-particle":"","parse-names":false,"suffix":""}],"container-title":"Trends in Food Science and Technology","id":"ITEM-1","issued":{"date-parts":[["2020"]]},"page":"402-416","title":"Trends in food science &amp; technology an overview of mead production and the physicochemical, toxicological, and sensory characteristics of mead with a special emphasis on flavor","type":"article-journal","volume":"106"},"uris":["http://www.mendeley.com/documents/?uuid=0d36c78e-05cf-4c7f-b013-a56722a88122"]}],"mendeley":{"formattedCitation":"(Starowicz &amp; Granvogl, 2020)","manualFormatting":"(Starowicz and Granvogl, 2020)","plainTextFormattedCitation":"(Starowicz &amp; Granvogl, 2020)","previouslyFormattedCitation":"(Starowicz &amp; Granvogl, 2020)"},"properties":{"noteIndex":0},"schema":"https://github.com/citation-style-language/schema/raw/master/csl-citation.json"}</w:instrText>
      </w:r>
      <w:r>
        <w:rPr>
          <w:lang w:val="en-GB"/>
        </w:rPr>
        <w:fldChar w:fldCharType="separate"/>
      </w:r>
      <w:r w:rsidRPr="00A1080F">
        <w:rPr>
          <w:noProof/>
          <w:lang w:val="en-GB"/>
        </w:rPr>
        <w:t xml:space="preserve">(Starowicz </w:t>
      </w:r>
      <w:r>
        <w:rPr>
          <w:noProof/>
          <w:lang w:val="en-GB"/>
        </w:rPr>
        <w:t>and</w:t>
      </w:r>
      <w:r w:rsidRPr="00A1080F">
        <w:rPr>
          <w:noProof/>
          <w:lang w:val="en-GB"/>
        </w:rPr>
        <w:t xml:space="preserve"> Granvogl, 2020)</w:t>
      </w:r>
      <w:r>
        <w:rPr>
          <w:lang w:val="en-GB"/>
        </w:rPr>
        <w:fldChar w:fldCharType="end"/>
      </w:r>
      <w:r w:rsidRPr="00A1080F">
        <w:rPr>
          <w:lang w:val="en-GB"/>
        </w:rPr>
        <w:t>.</w:t>
      </w:r>
      <w:r>
        <w:rPr>
          <w:lang w:val="en-GB"/>
        </w:rPr>
        <w:t xml:space="preserve"> </w:t>
      </w:r>
      <w:r w:rsidRPr="00C478B0">
        <w:t xml:space="preserve">Mead is highly sought after in the realm of bee products and has garnered attention in the market due to its remarkable attributes, such as its minimal ecological footprint and positive implications for human welfare, making it an exceptionally advantageous product </w:t>
      </w:r>
      <w:r>
        <w:rPr>
          <w:lang w:val="en-GB"/>
        </w:rPr>
        <w:fldChar w:fldCharType="begin" w:fldLock="1"/>
      </w:r>
      <w:r>
        <w:rPr>
          <w:lang w:val="en-GB"/>
        </w:rPr>
        <w:instrText>ADDIN CSL_CITATION {"citationItems":[{"id":"ITEM-1","itemData":{"DOI":"10.25100/iyc.v24i1.11112","abstract":"El desarrollo de procesos y actividades industriales que promueven el crecimiento sostenible de la cadena de producción apícola se ha vuelto muy importante en los últimos años. Hidromiel o meades el nombre dado a un tipo de vino que se produce a partir de la fermentación alcohólica de la miel de abejas diluida; es una de las bebidas más antiguas y apetecida en el norte de Europa. En Colombia, la producción de hidromiel se da a pequeña escala. En este trabajo se evaluaron los impactos ambientales asociados a una planta existente de hidromiel ubicada en el Municipio de San Mateo Boyacá. Adicionalmente, se valoraron los posibles impactos que se generarían en el momento de implementar una planta de producción en el Departamento de Bolívar. El análisis se realizó usando la herramienta de diagnóstico WARGUI, un software de código abierto que permite evaluar tanto los impactos producidos como los consumidos por el proceso, en 8 categorías diferentes. Esta herramienta permitió realizar un estudio y presentar alternativas relacionadas con el uso de combustibles y residuos, información que contribuye a mejorar la sostenibilidad del proceso. Los resultados que se destacan son que no se presentó una diferencia considerable entre los impactos ocasionados al ambiente de la planta piloto de Boyacá y la simulada del Departamento de Bolívar y, que en general, ambas plantas presentaron un comportamiento sostenible desde el punto de vista ambiental","author":[{"dropping-particle":"","family":"Gonzalez-Delgado","given":"Angel","non-dropping-particle":"","parse-names":false,"suffix":""},{"dropping-particle":"","family":"Cuenca","given":"Martha","non-dropping-particle":"","parse-names":false,"suffix":""},{"dropping-particle":"","family":"Martinez","given":"Edwin","non-dropping-particle":"","parse-names":false,"suffix":""},{"dropping-particle":"","family":"Rincón","given":"Brahian","non-dropping-particle":"","parse-names":false,"suffix":""}],"container-title":"Ingeniería y competitividad","id":"ITEM-1","issue":"1","issued":{"date-parts":[["2021"]]},"page":"10","title":"Computer-assisted environmental evaluation of the mead production process on a pilot scale in the Department of Boyacá and Bolívar (Colombia)","type":"article-journal","volume":"21"},"uris":["http://www.mendeley.com/documents/?uuid=8ff5018f-18f6-4e3c-ad7a-6ab441c48907"]}],"mendeley":{"formattedCitation":"(Gonzalez-Delgado et al., 2021)","plainTextFormattedCitation":"(Gonzalez-Delgado et al., 2021)","previouslyFormattedCitation":"(Gonzalez-Delgado et al., 2021)"},"properties":{"noteIndex":0},"schema":"https://github.com/citation-style-language/schema/raw/master/csl-citation.json"}</w:instrText>
      </w:r>
      <w:r>
        <w:rPr>
          <w:lang w:val="en-GB"/>
        </w:rPr>
        <w:fldChar w:fldCharType="separate"/>
      </w:r>
      <w:r w:rsidRPr="00BC2DA4">
        <w:rPr>
          <w:noProof/>
          <w:lang w:val="en-GB"/>
        </w:rPr>
        <w:t>(Gonzalez-Delgado et al., 2021)</w:t>
      </w:r>
      <w:r>
        <w:rPr>
          <w:lang w:val="en-GB"/>
        </w:rPr>
        <w:fldChar w:fldCharType="end"/>
      </w:r>
      <w:r>
        <w:rPr>
          <w:lang w:val="en-GB"/>
        </w:rPr>
        <w:t>.</w:t>
      </w:r>
    </w:p>
    <w:p w14:paraId="0353FECC" w14:textId="77777777" w:rsidR="00C478B0" w:rsidRDefault="00C478B0" w:rsidP="00600535">
      <w:pPr>
        <w:pStyle w:val="CETBodytext"/>
        <w:rPr>
          <w:lang w:val="en-GB"/>
        </w:rPr>
      </w:pPr>
    </w:p>
    <w:p w14:paraId="29AB8DA5" w14:textId="47DED706" w:rsidR="004F0E3F" w:rsidRDefault="005C7102" w:rsidP="00600535">
      <w:pPr>
        <w:pStyle w:val="CETBodytext"/>
        <w:rPr>
          <w:lang w:val="en-GB"/>
        </w:rPr>
      </w:pPr>
      <w:r>
        <w:rPr>
          <w:lang w:val="en-GB"/>
        </w:rPr>
        <w:t xml:space="preserve">Alcoholic fermentation using honey can be important to </w:t>
      </w:r>
      <w:r w:rsidR="004F0E3F" w:rsidRPr="004F0E3F">
        <w:rPr>
          <w:lang w:val="en-GB"/>
        </w:rPr>
        <w:t>improv</w:t>
      </w:r>
      <w:r>
        <w:rPr>
          <w:lang w:val="en-GB"/>
        </w:rPr>
        <w:t xml:space="preserve">e </w:t>
      </w:r>
      <w:r w:rsidR="004F0E3F" w:rsidRPr="004F0E3F">
        <w:rPr>
          <w:lang w:val="en-GB"/>
        </w:rPr>
        <w:t xml:space="preserve">the overall quality of products. This is achieved by bringing out the inherent properties of honey in such a way that its full potential is utilized </w:t>
      </w:r>
      <w:r w:rsidR="004F0E3F">
        <w:rPr>
          <w:lang w:val="en-GB"/>
        </w:rPr>
        <w:fldChar w:fldCharType="begin" w:fldLock="1"/>
      </w:r>
      <w:r w:rsidR="004F0E3F">
        <w:rPr>
          <w:lang w:val="en-GB"/>
        </w:rPr>
        <w:instrText>ADDIN CSL_CITATION {"citationItems":[{"id":"ITEM-1","itemData":{"DOI":"10.1016/j.tifs.2020.09.006","ISSN":"09242244","abstract":"Background: Mead is a traditional alcoholic beverage obtained by fermentation of mead wort and is popularly produced at home and/or in small meaderies. Different types of mead can be distinguished based on honey-to-water ratio, addition of spices and/or fruits, and the method of wort preparation. The consumption of mead has gained popularity in Europe owing to the presence of its natural and high-quality compounds. As a result, mead production has remarkably increased during the past years, and increasing attention has been paid to improve its production parameters. Scope and approach: In the first part of this comprehensive review, general aspects of mead production and the characteristic parameters of alcoholic beverages, including organic acid content, pH value, ethanol content, titratable acidity, volatile acidity, and residual sugar content are discussed. In the second part, the aroma profile and sensory acceptability of mead, including parameters that might influence the characteristic aroma of mead, is presented. Key findings and conclusions: The flavor of mead mainly depends on the type of honey used for fermentation, and the analysis of odorants is one of the most important criteria in the quality evaluation of mead. In addition, the presence of hydroxymethylfurfural, one of the major Maillard reaction products, and of phenolic compounds is related to the type of honey used. Furthermore, the antioxidant activity of mead significantly correlates with the type and amount of honey used for mead preparation.","author":[{"dropping-particle":"","family":"Starowicz","given":"Małgorzata","non-dropping-particle":"","parse-names":false,"suffix":""},{"dropping-particle":"","family":"Granvogl","given":"Michael","non-dropping-particle":"","parse-names":false,"suffix":""}],"container-title":"Trends in Food Science and Technology","id":"ITEM-1","issued":{"date-parts":[["2020"]]},"page":"402-416","title":"Trends in food science &amp; technology an overview of mead production and the physicochemical, toxicological, and sensory characteristics of mead with a special emphasis on flavor","type":"article-journal","volume":"106"},"uris":["http://www.mendeley.com/documents/?uuid=0d36c78e-05cf-4c7f-b013-a56722a88122"]}],"mendeley":{"formattedCitation":"(Starowicz &amp; Granvogl, 2020)","manualFormatting":"(Starowicz and Granvogl, 2020)","plainTextFormattedCitation":"(Starowicz &amp; Granvogl, 2020)","previouslyFormattedCitation":"(Starowicz &amp; Granvogl, 2020)"},"properties":{"noteIndex":0},"schema":"https://github.com/citation-style-language/schema/raw/master/csl-citation.json"}</w:instrText>
      </w:r>
      <w:r w:rsidR="004F0E3F">
        <w:rPr>
          <w:lang w:val="en-GB"/>
        </w:rPr>
        <w:fldChar w:fldCharType="separate"/>
      </w:r>
      <w:r w:rsidR="004F0E3F" w:rsidRPr="00D569AB">
        <w:rPr>
          <w:noProof/>
          <w:lang w:val="en-GB"/>
        </w:rPr>
        <w:t xml:space="preserve">(Starowicz </w:t>
      </w:r>
      <w:r w:rsidR="004F0E3F">
        <w:rPr>
          <w:noProof/>
          <w:lang w:val="en-GB"/>
        </w:rPr>
        <w:t>and</w:t>
      </w:r>
      <w:r w:rsidR="004F0E3F" w:rsidRPr="00D569AB">
        <w:rPr>
          <w:noProof/>
          <w:lang w:val="en-GB"/>
        </w:rPr>
        <w:t xml:space="preserve"> Granvogl, 2020)</w:t>
      </w:r>
      <w:r w:rsidR="004F0E3F">
        <w:rPr>
          <w:lang w:val="en-GB"/>
        </w:rPr>
        <w:fldChar w:fldCharType="end"/>
      </w:r>
      <w:r w:rsidR="004F0E3F">
        <w:rPr>
          <w:lang w:val="en-GB"/>
        </w:rPr>
        <w:t xml:space="preserve">. </w:t>
      </w:r>
      <w:r w:rsidR="004F0E3F" w:rsidRPr="004F0E3F">
        <w:rPr>
          <w:lang w:val="en-GB"/>
        </w:rPr>
        <w:t>In this work, local honey was used as an alternative to generate a value-added product, contributing to the economy of the subregion. Consequently, this transformation not only leads to an improvement in the variety of available products but also adds a novel element to the market, thereby attracting a broader consumer base. It allows producers to access previously untapped market segments, expanding their reach and potentially increasing their customer base. Furthermore, this transformation process increases profitability, which can have a significant impact on the livelihoods of beekeepers by providing them with a stable and sustainable source of income.</w:t>
      </w:r>
    </w:p>
    <w:p w14:paraId="5741900F" w14:textId="75C2735F" w:rsidR="00453E24" w:rsidRDefault="00DE3281" w:rsidP="00453E24">
      <w:pPr>
        <w:pStyle w:val="CETHeading1"/>
      </w:pPr>
      <w:r w:rsidRPr="00DE3281">
        <w:t>Materials and Methods</w:t>
      </w:r>
    </w:p>
    <w:p w14:paraId="0636B784" w14:textId="50CA3D81" w:rsidR="00453E24" w:rsidRDefault="001E1162" w:rsidP="001E59E7">
      <w:pPr>
        <w:pStyle w:val="CETheadingx"/>
      </w:pPr>
      <w:r>
        <w:t>Materials</w:t>
      </w:r>
      <w:r w:rsidR="00B3398C">
        <w:t xml:space="preserve"> </w:t>
      </w:r>
    </w:p>
    <w:p w14:paraId="4406DACF" w14:textId="0A37E9A3" w:rsidR="009D3F2D" w:rsidRDefault="009D3F2D" w:rsidP="009D3F2D">
      <w:pPr>
        <w:pStyle w:val="CETBodytext"/>
      </w:pPr>
      <w:r w:rsidRPr="009D3F2D">
        <w:t>In this research, honey from the Montes de María sub-region was used, sourced from the municipalities of El Carmen de Bolívar (Cooapomiel), San Juan Nepomuceno, and San Jacinto, all located in Bolívar, Colombia. Additionally, dehydrated bee pollen from Antioquia, Colombia, was used as a yeast nutrient. Two commercial yeasts were employed: Red Star Premier Classique and Red Star Premier Blanc (</w:t>
      </w:r>
      <w:proofErr w:type="spellStart"/>
      <w:r w:rsidRPr="009D3F2D">
        <w:t>Fermentis</w:t>
      </w:r>
      <w:proofErr w:type="spellEnd"/>
      <w:r w:rsidRPr="009D3F2D">
        <w:t xml:space="preserve"> </w:t>
      </w:r>
      <w:proofErr w:type="spellStart"/>
      <w:r w:rsidRPr="009D3F2D">
        <w:t>Lesaffre</w:t>
      </w:r>
      <w:proofErr w:type="spellEnd"/>
      <w:r w:rsidRPr="009D3F2D">
        <w:t xml:space="preserve">). Commercial yeasts are widely used in wine production due to their demonstrated adequate fermentative behaviors </w:t>
      </w:r>
      <w:r>
        <w:fldChar w:fldCharType="begin" w:fldLock="1"/>
      </w:r>
      <w:r>
        <w:instrText>ADDIN CSL_CITATION {"citationItems":[{"id":"ITEM-1","itemData":{"DOI":"10.1016/j.foodchem.2022.135121","ISSN":"18737072","PMID":"36521294","abstract":"Brazil is the largest producer of oranges worldwide, as well as one of the largest producers of orange juice. Alcoholic fermented beverages have been considered a marketable alternative for oranges. In this study, four S. cerevisiae commercial yeasts were evaluated for metabolites generated during orange juice (cv. ‘Pêra D9′) fermentation. Alcohols, sugars, and organic acids were evaluated by HPLC-DAD-RID during fermentation, and phenolic compounds were analyzed in fermented orange. Orange juice and fermented oranges were also subjected to digestion simulations. The yeasts presented an adequate fermentation activity, based on sugar consumption, and high ethanol (&gt;10.5%) and glycerol (4.8–5.5 g/L) contents. The yeast strains T-58 and US-05 produced high levels of lactic acid. Phenolic compounds and antioxidant activity did not differ amongst yeasts, presenting hesperidin levels between 115 and 127 mg/L, respectively. The fermented orange showed a &gt;70% bioaccessibility, compared to juice, especially for catechin, epigallocatechin-gallate, procyanidin-B2, rutin, and procyanidin-B1.","author":[{"dropping-particle":"","family":"Andrade Barreto","given":"Suzana Maria","non-dropping-particle":"","parse-names":false,"suffix":""},{"dropping-particle":"","family":"Martins da Silva","given":"Ana Beatriz","non-dropping-particle":"","parse-names":false,"suffix":""},{"dropping-particle":"","family":"Prudêncio Dutra","given":"Maria da Conceição","non-dropping-particle":"","parse-names":false,"suffix":""},{"dropping-particle":"","family":"Costa Bastos","given":"Debora","non-dropping-particle":"","parse-names":false,"suffix":""},{"dropping-particle":"","family":"Brito Araújo Carvalho","given":"Ana Júlia","non-dropping-particle":"de","parse-names":false,"suffix":""},{"dropping-particle":"","family":"Cardoso Viana","given":"Arão","non-dropping-particle":"","parse-names":false,"suffix":""},{"dropping-particle":"","family":"Narain","given":"Narendra","non-dropping-particle":"","parse-names":false,"suffix":""},{"dropping-particle":"","family":"Santos Lima","given":"Marcos","non-dropping-particle":"dos","parse-names":false,"suffix":""}],"container-title":"Food Chemistry","id":"ITEM-1","issued":{"date-parts":[["2023"]]},"page":"1-9","title":"Effect of commercial yeasts (Saccharomyces cerevisiae) on fermentation metabolites, phenolic compounds, and bioaccessibility of Brazilian fermented oranges","type":"article-journal","volume":"408"},"uris":["http://www.mendeley.com/documents/?uuid=4767e0d3-9f88-45f7-881c-032e6346d218"]}],"mendeley":{"formattedCitation":"(Andrade Barreto et al., 2023)","plainTextFormattedCitation":"(Andrade Barreto et al., 2023)"},"properties":{"noteIndex":0},"schema":"https://github.com/citation-style-language/schema/raw/master/csl-citation.json"}</w:instrText>
      </w:r>
      <w:r>
        <w:fldChar w:fldCharType="separate"/>
      </w:r>
      <w:r w:rsidRPr="00011275">
        <w:rPr>
          <w:noProof/>
        </w:rPr>
        <w:t>(Andrade Barreto et al., 2023)</w:t>
      </w:r>
      <w:r>
        <w:fldChar w:fldCharType="end"/>
      </w:r>
      <w:r>
        <w:t xml:space="preserve">. </w:t>
      </w:r>
      <w:r w:rsidRPr="009D3F2D">
        <w:t xml:space="preserve">A thermostatic bath was utilized to ensure precise temperature control during </w:t>
      </w:r>
      <w:r>
        <w:t xml:space="preserve">fermentation </w:t>
      </w:r>
      <w:r>
        <w:fldChar w:fldCharType="begin" w:fldLock="1"/>
      </w:r>
      <w:r>
        <w:instrText>ADDIN CSL_CITATION {"citationItems":[{"id":"ITEM-1","itemData":{"DOI":"10.22490/25394088.3651","author":[{"dropping-particle":"","family":"Herrera","given":"Johana","non-dropping-particle":"","parse-names":false,"suffix":""},{"dropping-particle":"","family":"León","given":"Leinis","non-dropping-particle":"","parse-names":false,"suffix":""},{"dropping-particle":"","family":"Torres","given":"Yusleivis","non-dropping-particle":"","parse-names":false,"suffix":""},{"dropping-particle":"","family":"Cano","given":"Natalia","non-dropping-particle":"","parse-names":false,"suffix":""},{"dropping-particle":"","family":"Herrera","given":"Adriana","non-dropping-particle":"","parse-names":false,"suffix":""},{"dropping-particle":"","family":"Cuenca","given":"Martha","non-dropping-particle":"","parse-names":false,"suffix":""}],"container-title":"Publicaciones e Investigación","id":"ITEM-1","issue":"2","issued":{"date-parts":[["2019"]]},"page":"23-30","title":"Evaluation and selection of commercial yeast for the alcohol fermentation process of mead","type":"article-journal","volume":"13"},"uris":["http://www.mendeley.com/documents/?uuid=5e3475a4-15cd-48d2-8d1a-c490427d39bd"]}],"mendeley":{"formattedCitation":"(Herrera et al., 2019)","plainTextFormattedCitation":"(Herrera et al., 2019)","previouslyFormattedCitation":"(Herrera et al., 2019)"},"properties":{"noteIndex":0},"schema":"https://github.com/citation-style-language/schema/raw/master/csl-citation.json"}</w:instrText>
      </w:r>
      <w:r>
        <w:fldChar w:fldCharType="separate"/>
      </w:r>
      <w:r w:rsidRPr="00ED065F">
        <w:rPr>
          <w:noProof/>
        </w:rPr>
        <w:t>(Herrera et al., 2019)</w:t>
      </w:r>
      <w:r>
        <w:fldChar w:fldCharType="end"/>
      </w:r>
      <w:r>
        <w:t>.</w:t>
      </w:r>
    </w:p>
    <w:p w14:paraId="19F63E54" w14:textId="77777777" w:rsidR="009D3F2D" w:rsidRDefault="009D3F2D" w:rsidP="009D3F2D">
      <w:pPr>
        <w:pStyle w:val="CETBodytext"/>
      </w:pPr>
    </w:p>
    <w:p w14:paraId="18BAFA6F" w14:textId="5605002E" w:rsidR="00453E24" w:rsidRPr="001B1BBC" w:rsidRDefault="00502A20" w:rsidP="009D3F2D">
      <w:pPr>
        <w:pStyle w:val="CETBodytext"/>
        <w:rPr>
          <w:i/>
          <w:iCs/>
        </w:rPr>
      </w:pPr>
      <w:r w:rsidRPr="001B1BBC">
        <w:rPr>
          <w:i/>
          <w:iCs/>
        </w:rPr>
        <w:t>Alcoholic fermentation tests</w:t>
      </w:r>
    </w:p>
    <w:p w14:paraId="69563DD9" w14:textId="6FA7070A" w:rsidR="002A6DA9" w:rsidRPr="002A6DA9" w:rsidRDefault="00F930D5" w:rsidP="009D3F2D">
      <w:pPr>
        <w:pStyle w:val="CETBodytext"/>
        <w:rPr>
          <w:lang w:val="en-GB"/>
        </w:rPr>
      </w:pPr>
      <w:r>
        <w:rPr>
          <w:lang w:val="en-GB"/>
        </w:rPr>
        <w:t>A</w:t>
      </w:r>
      <w:r w:rsidR="002A6DA9" w:rsidRPr="002A6DA9">
        <w:rPr>
          <w:lang w:val="en-GB"/>
        </w:rPr>
        <w:t xml:space="preserve"> standardized methodology for mead production was adopted. This approach was chosen </w:t>
      </w:r>
      <w:r w:rsidR="008026F1">
        <w:rPr>
          <w:lang w:val="en-GB"/>
        </w:rPr>
        <w:t>to improve</w:t>
      </w:r>
      <w:r w:rsidR="002A6DA9" w:rsidRPr="002A6DA9">
        <w:rPr>
          <w:lang w:val="en-GB"/>
        </w:rPr>
        <w:t xml:space="preserve"> process monitoring and estimation of mead quality </w:t>
      </w:r>
      <w:r w:rsidR="002A6DA9">
        <w:rPr>
          <w:lang w:val="en-GB"/>
        </w:rPr>
        <w:fldChar w:fldCharType="begin" w:fldLock="1"/>
      </w:r>
      <w:r w:rsidR="002A6DA9">
        <w:rPr>
          <w:lang w:val="en-GB"/>
        </w:rPr>
        <w:instrText>ADDIN CSL_CITATION {"citationItems":[{"id":"ITEM-1","itemData":{"author":[{"dropping-particle":"","family":"Quicazán","given":"Marta","non-dropping-particle":"","parse-names":false,"suffix":""},{"dropping-particle":"","family":"Cuenca","given":"Martha","non-dropping-particle":"","parse-names":false,"suffix":""},{"dropping-particle":"","family":"Blanco","given":"Amaury","non-dropping-particle":"","parse-names":false,"suffix":""}],"editor":[{"dropping-particle":"","family":"Universidad NacionaL de Colombia","given":"","non-dropping-particle":"","parse-names":false,"suffix":""}],"id":"ITEM-1","issued":{"date-parts":[["2018"]]},"number-of-pages":"302","publisher-place":"Bogotá, D. C., Colombia","title":"Mead production in the context of Colombian beekeeping","type":"book"},"uris":["http://www.mendeley.com/documents/?uuid=b3bd6581-ed4f-4d9d-af03-086452ddd843"]}],"mendeley":{"formattedCitation":"(Quicazán et al., 2018)","plainTextFormattedCitation":"(Quicazán et al., 2018)","previouslyFormattedCitation":"(Quicazán et al., 2018)"},"properties":{"noteIndex":0},"schema":"https://github.com/citation-style-language/schema/raw/master/csl-citation.json"}</w:instrText>
      </w:r>
      <w:r w:rsidR="002A6DA9">
        <w:rPr>
          <w:lang w:val="en-GB"/>
        </w:rPr>
        <w:fldChar w:fldCharType="separate"/>
      </w:r>
      <w:r w:rsidR="002A6DA9" w:rsidRPr="005638F6">
        <w:rPr>
          <w:noProof/>
          <w:lang w:val="en-GB"/>
        </w:rPr>
        <w:t>(Quicazán et al., 2018)</w:t>
      </w:r>
      <w:r w:rsidR="002A6DA9">
        <w:rPr>
          <w:lang w:val="en-GB"/>
        </w:rPr>
        <w:fldChar w:fldCharType="end"/>
      </w:r>
      <w:r w:rsidR="002A6DA9">
        <w:rPr>
          <w:lang w:val="en-GB"/>
        </w:rPr>
        <w:t xml:space="preserve">. </w:t>
      </w:r>
      <w:r w:rsidR="002A6DA9" w:rsidRPr="002A6DA9">
        <w:rPr>
          <w:lang w:val="en-GB"/>
        </w:rPr>
        <w:t>Typically, mead is obtained from a must with a 24</w:t>
      </w:r>
      <w:r w:rsidR="002A6DA9">
        <w:rPr>
          <w:lang w:val="en-GB"/>
        </w:rPr>
        <w:t>°Bx</w:t>
      </w:r>
      <w:r w:rsidR="002A6DA9" w:rsidRPr="002A6DA9">
        <w:rPr>
          <w:lang w:val="en-GB"/>
        </w:rPr>
        <w:t xml:space="preserve"> </w:t>
      </w:r>
      <w:r w:rsidR="002A6DA9">
        <w:rPr>
          <w:lang w:val="en-GB"/>
        </w:rPr>
        <w:fldChar w:fldCharType="begin" w:fldLock="1"/>
      </w:r>
      <w:r w:rsidR="002A6DA9">
        <w:rPr>
          <w:lang w:val="en-GB"/>
        </w:rPr>
        <w:instrText>ADDIN CSL_CITATION {"citationItems":[{"id":"ITEM-1","itemData":{"DOI":"10.1016/j.fm.2012.09.006","author":[{"dropping-particle":"","family":"Pereira","given":"A.P.","non-dropping-particle":"","parse-names":false,"suffix":""},{"dropping-particle":"","family":"Mendes-Ferreira","given":"A.","non-dropping-particle":"","parse-names":false,"suffix":""},{"dropping-particle":"","family":"Oliveira","given":"J.M.","non-dropping-particle":"","parse-names":false,"suffix":""},{"dropping-particle":"","family":"Estevinho","given":"L.M.","non-dropping-particle":"","parse-names":false,"suffix":""},{"dropping-particle":"","family":"Mendes-Faia","given":"A.","non-dropping-particle":"","parse-names":false,"suffix":""}],"container-title":"Food Microbiology","id":"ITEM-1","issue":"1","issued":{"date-parts":[["2013"]]},"page":"114-123","title":"High-cell-density fermentation of Saccharomyces cerevisiae for the optimisation of mead production","type":"article-journal","volume":"33"},"uris":["http://www.mendeley.com/documents/?uuid=74c35064-edd7-44c1-b6a8-c9246928c8f7"]}],"mendeley":{"formattedCitation":"(Pereira et al., 2013)","plainTextFormattedCitation":"(Pereira et al., 2013)","previouslyFormattedCitation":"(Pereira et al., 2013)"},"properties":{"noteIndex":0},"schema":"https://github.com/citation-style-language/schema/raw/master/csl-citation.json"}</w:instrText>
      </w:r>
      <w:r w:rsidR="002A6DA9">
        <w:rPr>
          <w:lang w:val="en-GB"/>
        </w:rPr>
        <w:fldChar w:fldCharType="separate"/>
      </w:r>
      <w:r w:rsidR="002A6DA9" w:rsidRPr="006C02B9">
        <w:rPr>
          <w:noProof/>
          <w:lang w:val="en-GB"/>
        </w:rPr>
        <w:t>(Pereira et al., 2013)</w:t>
      </w:r>
      <w:r w:rsidR="002A6DA9">
        <w:rPr>
          <w:lang w:val="en-GB"/>
        </w:rPr>
        <w:fldChar w:fldCharType="end"/>
      </w:r>
      <w:r w:rsidR="002A6DA9" w:rsidRPr="006C02B9">
        <w:rPr>
          <w:lang w:val="en-GB"/>
        </w:rPr>
        <w:t>.</w:t>
      </w:r>
      <w:r w:rsidR="002A6DA9">
        <w:rPr>
          <w:lang w:val="en-GB"/>
        </w:rPr>
        <w:t xml:space="preserve"> </w:t>
      </w:r>
      <w:r w:rsidR="002A6DA9" w:rsidRPr="002A6DA9">
        <w:rPr>
          <w:lang w:val="en-GB"/>
        </w:rPr>
        <w:t>Bee pollen was added at a concentration of 4 g/L of must</w:t>
      </w:r>
      <w:r w:rsidR="00984BE9">
        <w:rPr>
          <w:lang w:val="en-GB"/>
        </w:rPr>
        <w:t>,</w:t>
      </w:r>
      <w:r w:rsidR="002A6DA9" w:rsidRPr="002A6DA9">
        <w:rPr>
          <w:lang w:val="en-GB"/>
        </w:rPr>
        <w:t xml:space="preserve"> based on studies indicating improvements in sensory and volatile profiles </w:t>
      </w:r>
      <w:r w:rsidR="002A6DA9">
        <w:rPr>
          <w:lang w:val="en-GB"/>
        </w:rPr>
        <w:fldChar w:fldCharType="begin" w:fldLock="1"/>
      </w:r>
      <w:r w:rsidR="002A6DA9">
        <w:rPr>
          <w:lang w:val="en-GB"/>
        </w:rPr>
        <w:instrText>ADDIN CSL_CITATION {"citationItems":[{"id":"ITEM-1","itemData":{"DOI":"10.3390/foods9080981","ISSN":"23048158","abstract":"One of themain aspects that definewine quality is its aromatic profile. Nutritional deficiencies in musts can lead to olfactory defects and a decline in quality. Commercial activators and nutrients are usually added to the must in these cases. The natural composition of bee pollen can provide all the necessary nutrients for yeasts. This investigation aims to analyze the impact of pollen addition on the profile of volatile and sensory compounds in Tintilla de Rota warm climate red wines. Volatile compounds were measured by Gas Chromatography Mass Spectrometry, Odorant Activity Values analysis to find out each compound s fragrant participation, and sensorial analysis was conducted for a qualified panel of wine-tasters. As a result of the chromatographic analysis, 80 volatile compounds of different chemical families were identified and quantified. Bee pollen increased mainly isoamyl alcohol, esters, and terpenes compounds families in wines. Odorant Activity Values analysis showed an increase in fruity odorant series mainly, followed by floral, for all wines with pollen addition. The sensory analysis showed that low pollen doses (0.1 g/L and 0.25 g/L) increased tasting notes of fruit and floral attributes and fruit and floral odorant series as well, highlighting an increase in red and black fruit notes mainly. On the other hand, high doses deviated the sensory profile towards fleshy stone fruit, and raisin fruit, mostly. In addition, high bee pollen doses produce an increase in the odorant category responsible for the chemical, fatty, and grassy aromas mainly, and high and intermediate dose (1 g/L) an increase in the earthy notes in the aromas. Therefore, low bee pollen doses (0.1 and 0.25 g/L) can improve both the aromatic compound profile, as well as the Odorant Activity Values levels and the sensory profile in Tintilla de Rota red wines.","author":[{"dropping-particle":"","family":"Amores-Arrocha","given":"Antonio","non-dropping-particle":"","parse-names":false,"suffix":""},{"dropping-particle":"","family":"Sancho-Galán","given":"Pau","non-dropping-particle":"","parse-names":false,"suffix":""},{"dropping-particle":"","family":"Jiménez-Cantizano","given":"Ana","non-dropping-particle":"","parse-names":false,"suffix":""},{"dropping-particle":"","family":"Palacios","given":"Víctor","non-dropping-particle":"","parse-names":false,"suffix":""}],"container-title":"Foods","id":"ITEM-1","issue":"8","issued":{"date-parts":[["2020"]]},"page":"1-14","title":"Bee pollen role in red winemaking: volatile compounds and sensory characteristics of tintilla de rota warm climate red wines","type":"article-journal","volume":"9"},"uris":["http://www.mendeley.com/documents/?uuid=3056712f-4662-444c-ad96-4bc56bbf7fee"]}],"mendeley":{"formattedCitation":"(Amores-Arrocha et al., 2020)","plainTextFormattedCitation":"(Amores-Arrocha et al., 2020)","previouslyFormattedCitation":"(Amores-Arrocha et al., 2020)"},"properties":{"noteIndex":0},"schema":"https://github.com/citation-style-language/schema/raw/master/csl-citation.json"}</w:instrText>
      </w:r>
      <w:r w:rsidR="002A6DA9">
        <w:rPr>
          <w:lang w:val="en-GB"/>
        </w:rPr>
        <w:fldChar w:fldCharType="separate"/>
      </w:r>
      <w:r w:rsidR="002A6DA9" w:rsidRPr="00650AB2">
        <w:rPr>
          <w:noProof/>
          <w:lang w:val="en-GB"/>
        </w:rPr>
        <w:t>(Amores-Arrocha et al., 2020)</w:t>
      </w:r>
      <w:r w:rsidR="002A6DA9">
        <w:rPr>
          <w:lang w:val="en-GB"/>
        </w:rPr>
        <w:fldChar w:fldCharType="end"/>
      </w:r>
      <w:r w:rsidR="002A6DA9">
        <w:rPr>
          <w:lang w:val="en-GB"/>
        </w:rPr>
        <w:t xml:space="preserve">. </w:t>
      </w:r>
    </w:p>
    <w:p w14:paraId="1A62D701" w14:textId="77777777" w:rsidR="002A6DA9" w:rsidRPr="00556452" w:rsidRDefault="002A6DA9" w:rsidP="009D3F2D">
      <w:pPr>
        <w:pStyle w:val="CETBodytext"/>
        <w:rPr>
          <w:lang w:val="en-GB"/>
        </w:rPr>
      </w:pPr>
    </w:p>
    <w:p w14:paraId="6EDA86E7" w14:textId="2C195F2A" w:rsidR="00C705F7" w:rsidRDefault="00556452" w:rsidP="009D3F2D">
      <w:pPr>
        <w:pStyle w:val="CETBodytext"/>
        <w:rPr>
          <w:lang w:val="en-GB"/>
        </w:rPr>
      </w:pPr>
      <w:r w:rsidRPr="00556452">
        <w:rPr>
          <w:lang w:val="en-GB"/>
        </w:rPr>
        <w:t xml:space="preserve">A simplified process to produce mead is illustrated in </w:t>
      </w:r>
      <w:r>
        <w:rPr>
          <w:lang w:val="en-GB"/>
        </w:rPr>
        <w:fldChar w:fldCharType="begin"/>
      </w:r>
      <w:r>
        <w:rPr>
          <w:lang w:val="en-GB"/>
        </w:rPr>
        <w:instrText xml:space="preserve"> REF _Ref155818553 \h </w:instrText>
      </w:r>
      <w:r>
        <w:rPr>
          <w:lang w:val="en-GB"/>
        </w:rPr>
      </w:r>
      <w:r>
        <w:rPr>
          <w:lang w:val="en-GB"/>
        </w:rPr>
        <w:fldChar w:fldCharType="separate"/>
      </w:r>
      <w:r>
        <w:t xml:space="preserve">Figure </w:t>
      </w:r>
      <w:r>
        <w:rPr>
          <w:noProof/>
        </w:rPr>
        <w:t>1</w:t>
      </w:r>
      <w:r>
        <w:rPr>
          <w:lang w:val="en-GB"/>
        </w:rPr>
        <w:fldChar w:fldCharType="end"/>
      </w:r>
      <w:r w:rsidRPr="00556452">
        <w:rPr>
          <w:lang w:val="en-GB"/>
        </w:rPr>
        <w:t xml:space="preserve">. Initially, a mass balance was performed to estimate the quantities of honey in the must. Three types of honey were used, differentiated by the location where they were extracted: Carmen de Bolívar, San Juan Nepomuceno, and San Jacinto. Water and pollen were also added. The bee pollen was previously ground to facilitate dissolution in the must. Subsequently, the </w:t>
      </w:r>
      <w:r>
        <w:rPr>
          <w:lang w:val="en-GB"/>
        </w:rPr>
        <w:t>Brix degrees</w:t>
      </w:r>
      <w:r w:rsidRPr="00556452">
        <w:rPr>
          <w:lang w:val="en-GB"/>
        </w:rPr>
        <w:t xml:space="preserve"> of the must and honey were measured using a Hanna Instrument digital refractometer. The must was then heated to 60°C for 0.083 hours</w:t>
      </w:r>
      <w:r>
        <w:rPr>
          <w:lang w:val="en-GB"/>
        </w:rPr>
        <w:t>.</w:t>
      </w:r>
    </w:p>
    <w:p w14:paraId="565A3222" w14:textId="77777777" w:rsidR="006961A8" w:rsidRDefault="006961A8" w:rsidP="009D3F2D">
      <w:pPr>
        <w:pStyle w:val="CETBodytext"/>
        <w:rPr>
          <w:lang w:val="en-GB"/>
        </w:rPr>
      </w:pPr>
    </w:p>
    <w:p w14:paraId="4D7F671E" w14:textId="3CD09234" w:rsidR="006961A8" w:rsidRPr="00556452" w:rsidRDefault="00956A09" w:rsidP="009D3F2D">
      <w:pPr>
        <w:pStyle w:val="CETBodytext"/>
        <w:rPr>
          <w:lang w:val="en-GB"/>
        </w:rPr>
      </w:pPr>
      <w:r w:rsidRPr="00956A09">
        <w:rPr>
          <w:lang w:val="en-GB"/>
        </w:rPr>
        <w:t>After cooling, when the temperature ranged between 30°C and 37°C, yeast was added. The manufacturer recommended a dose of 30 g/100 L of must for both yeasts. These quantities were weighed into 40 ml amber bottles and mixed with each of the previously prepared musts. After observing carbon dioxide production (bubbling), yeast was added to each must to initiate the alcoholic fermentation process. Alcoholic fermentation was conducted in 250 mL amber glass bottles, with a small bottle left to collect samples. The fermenting musts were stored in a dry place at room temperature (2</w:t>
      </w:r>
      <w:r w:rsidR="00275B35">
        <w:rPr>
          <w:lang w:val="en-GB"/>
        </w:rPr>
        <w:t>3</w:t>
      </w:r>
      <w:r w:rsidRPr="00956A09">
        <w:rPr>
          <w:lang w:val="en-GB"/>
        </w:rPr>
        <w:t>°C) throughout the fermentation process</w:t>
      </w:r>
      <w:r>
        <w:rPr>
          <w:lang w:val="en-GB"/>
        </w:rPr>
        <w:t>.</w:t>
      </w:r>
    </w:p>
    <w:p w14:paraId="6B9E296B" w14:textId="77777777" w:rsidR="00556452" w:rsidRPr="00B57B36" w:rsidRDefault="00556452" w:rsidP="009D3F2D">
      <w:pPr>
        <w:pStyle w:val="CETBodytext"/>
      </w:pPr>
    </w:p>
    <w:p w14:paraId="38AC64C0" w14:textId="77777777" w:rsidR="00C14883" w:rsidRDefault="00C14883" w:rsidP="00C14883">
      <w:pPr>
        <w:pStyle w:val="CETBodytext"/>
        <w:keepNext/>
      </w:pPr>
      <w:r>
        <w:rPr>
          <w:noProof/>
          <w:lang w:val="en-GB"/>
        </w:rPr>
        <w:lastRenderedPageBreak/>
        <w:drawing>
          <wp:inline distT="0" distB="0" distL="0" distR="0" wp14:anchorId="49C8BA12" wp14:editId="3F91F933">
            <wp:extent cx="2614270" cy="2447925"/>
            <wp:effectExtent l="0" t="0" r="0" b="0"/>
            <wp:docPr id="1794568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298" cy="2463869"/>
                    </a:xfrm>
                    <a:prstGeom prst="rect">
                      <a:avLst/>
                    </a:prstGeom>
                    <a:noFill/>
                  </pic:spPr>
                </pic:pic>
              </a:graphicData>
            </a:graphic>
          </wp:inline>
        </w:drawing>
      </w:r>
    </w:p>
    <w:p w14:paraId="1896CFE7" w14:textId="2C8F048A" w:rsidR="0062521C" w:rsidRDefault="00C14883" w:rsidP="00C14883">
      <w:pPr>
        <w:pStyle w:val="CETCaption"/>
      </w:pPr>
      <w:r>
        <w:t xml:space="preserve">Figure </w:t>
      </w:r>
      <w:r>
        <w:fldChar w:fldCharType="begin"/>
      </w:r>
      <w:r>
        <w:instrText xml:space="preserve"> SEQ Figure \* ARABIC </w:instrText>
      </w:r>
      <w:r>
        <w:fldChar w:fldCharType="separate"/>
      </w:r>
      <w:r w:rsidR="00E346BC">
        <w:rPr>
          <w:noProof/>
        </w:rPr>
        <w:t>1</w:t>
      </w:r>
      <w:r>
        <w:fldChar w:fldCharType="end"/>
      </w:r>
      <w:r>
        <w:t xml:space="preserve">: </w:t>
      </w:r>
      <w:r w:rsidRPr="00A12CA6">
        <w:t>Process flow diagram for mead production</w:t>
      </w:r>
      <w:r>
        <w:t xml:space="preserve"> (</w:t>
      </w:r>
      <w:r w:rsidRPr="00A12CA6">
        <w:t xml:space="preserve">based on </w:t>
      </w:r>
      <w:r w:rsidRPr="00A12CA6">
        <w:fldChar w:fldCharType="begin" w:fldLock="1"/>
      </w:r>
      <w:r>
        <w:instrText>ADDIN CSL_CITATION {"citationItems":[{"id":"ITEM-1","itemData":{"author":[{"dropping-particle":"","family":"Quicazán","given":"Marta","non-dropping-particle":"","parse-names":false,"suffix":""},{"dropping-particle":"","family":"Cuenca","given":"Martha","non-dropping-particle":"","parse-names":false,"suffix":""},{"dropping-particle":"","family":"Blanco","given":"Amaury","non-dropping-particle":"","parse-names":false,"suffix":""}],"editor":[{"dropping-particle":"","family":"Universidad NacionaL de Colombia","given":"","non-dropping-particle":"","parse-names":false,"suffix":""}],"id":"ITEM-1","issued":{"date-parts":[["2018"]]},"number-of-pages":"302","publisher-place":"Bogotá, D. C., Colombia","title":"Mead production in the context of Colombian beekeeping","type":"book"},"uris":["http://www.mendeley.com/documents/?uuid=b3bd6581-ed4f-4d9d-af03-086452ddd843"]}],"mendeley":{"formattedCitation":"(Quicazán et al., 2018)","manualFormatting":"Quicazán et al., 2018)","plainTextFormattedCitation":"(Quicazán et al., 2018)","previouslyFormattedCitation":"(Quicazán et al., 2018)"},"properties":{"noteIndex":0},"schema":"https://github.com/citation-style-language/schema/raw/master/csl-citation.json"}</w:instrText>
      </w:r>
      <w:r w:rsidRPr="00A12CA6">
        <w:fldChar w:fldCharType="separate"/>
      </w:r>
      <w:r w:rsidRPr="00A12CA6">
        <w:rPr>
          <w:noProof/>
        </w:rPr>
        <w:t>Quicazán et al., 2018)</w:t>
      </w:r>
      <w:r w:rsidRPr="00A12CA6">
        <w:fldChar w:fldCharType="end"/>
      </w:r>
      <w:r w:rsidR="00AE674E">
        <w:t xml:space="preserve">. </w:t>
      </w:r>
      <w:r w:rsidR="00AE674E" w:rsidRPr="00AE674E">
        <w:t>Honey extraction sites:</w:t>
      </w:r>
      <w:r w:rsidR="00AE674E">
        <w:t xml:space="preserve"> </w:t>
      </w:r>
      <w:r w:rsidR="00AE674E" w:rsidRPr="00AE674E">
        <w:t>San Juan Nepomuceno (S), Carmen de Bolívar (A)</w:t>
      </w:r>
      <w:r w:rsidR="00AE674E">
        <w:t>,</w:t>
      </w:r>
      <w:r w:rsidR="00AE674E" w:rsidRPr="00AE674E">
        <w:t xml:space="preserve"> and San Jacinto (J</w:t>
      </w:r>
      <w:r w:rsidR="000658A1">
        <w:t xml:space="preserve">), and </w:t>
      </w:r>
      <w:r w:rsidR="00AE674E" w:rsidRPr="00AE674E">
        <w:t>the yeasts</w:t>
      </w:r>
      <w:r w:rsidR="00375EE8">
        <w:t xml:space="preserve"> </w:t>
      </w:r>
      <w:r w:rsidR="00375EE8" w:rsidRPr="00AE674E">
        <w:t>labelled</w:t>
      </w:r>
      <w:r w:rsidR="00AE674E" w:rsidRPr="00AE674E">
        <w:t xml:space="preserve"> as Red Star Premier Classique (C) and Red Star Premier Blanc (B).</w:t>
      </w:r>
    </w:p>
    <w:p w14:paraId="6601CE15" w14:textId="6DAE7358" w:rsidR="00A12CA6" w:rsidRDefault="00CA4C12" w:rsidP="001E59E7">
      <w:pPr>
        <w:pStyle w:val="CETheadingx"/>
      </w:pPr>
      <w:r w:rsidRPr="00CA4C12">
        <w:t>Monitoring and characterization of meads</w:t>
      </w:r>
    </w:p>
    <w:p w14:paraId="705F3180" w14:textId="57E8AB46" w:rsidR="00CD1EFB" w:rsidRDefault="0072456D" w:rsidP="00DB1099">
      <w:pPr>
        <w:pStyle w:val="CETBodytext"/>
      </w:pPr>
      <w:r w:rsidRPr="0072456D">
        <w:t>Fermentations were conducted under controlled and constant temperature conditions for 548 hours at 23°C, once stability in</w:t>
      </w:r>
      <w:r>
        <w:t xml:space="preserve"> </w:t>
      </w:r>
      <w:r w:rsidRPr="0072456D">
        <w:t>Brix</w:t>
      </w:r>
      <w:r>
        <w:t xml:space="preserve"> degree</w:t>
      </w:r>
      <w:r w:rsidRPr="0072456D">
        <w:t xml:space="preserve"> was achieved, ensuring a stable and optimal environment for biochemical processes. Throughout the fermentation, periodic samples were collected to determine the levels of total soluble solids, which allowed the estimation of the completion of the fermentation process once these values stopped fluctuating over time.</w:t>
      </w:r>
      <w:r>
        <w:t xml:space="preserve"> </w:t>
      </w:r>
      <w:r w:rsidR="00CD1EFB" w:rsidRPr="00CD1EFB">
        <w:t xml:space="preserve">Once the fermentation process was completed, the addition of fining agents became essential, incorporating 0.1 g/L of gelatin and 0.3 g/L of bentonite into the system </w:t>
      </w:r>
      <w:r w:rsidR="00CD1EFB">
        <w:fldChar w:fldCharType="begin" w:fldLock="1"/>
      </w:r>
      <w:r w:rsidR="00CD1EFB">
        <w:instrText>ADDIN CSL_CITATION {"citationItems":[{"id":"ITEM-1","itemData":{"author":[{"dropping-particle":"","family":"Quicazán","given":"Marta","non-dropping-particle":"","parse-names":false,"suffix":""},{"dropping-particle":"","family":"Cuenca","given":"Martha","non-dropping-particle":"","parse-names":false,"suffix":""},{"dropping-particle":"","family":"Blanco","given":"Amaury","non-dropping-particle":"","parse-names":false,"suffix":""}],"editor":[{"dropping-particle":"","family":"Universidad NacionaL de Colombia","given":"","non-dropping-particle":"","parse-names":false,"suffix":""}],"id":"ITEM-1","issued":{"date-parts":[["2018"]]},"number-of-pages":"302","publisher-place":"Bogotá, D. C., Colombia","title":"Mead production in the context of Colombian beekeeping","type":"book"},"uris":["http://www.mendeley.com/documents/?uuid=b3bd6581-ed4f-4d9d-af03-086452ddd843"]}],"mendeley":{"formattedCitation":"(Quicazán et al., 2018)","plainTextFormattedCitation":"(Quicazán et al., 2018)","previouslyFormattedCitation":"(Quicazán et al., 2018)"},"properties":{"noteIndex":0},"schema":"https://github.com/citation-style-language/schema/raw/master/csl-citation.json"}</w:instrText>
      </w:r>
      <w:r w:rsidR="00CD1EFB">
        <w:fldChar w:fldCharType="separate"/>
      </w:r>
      <w:r w:rsidR="00CD1EFB" w:rsidRPr="00B32169">
        <w:rPr>
          <w:noProof/>
        </w:rPr>
        <w:t>(Quicazán et al., 2018)</w:t>
      </w:r>
      <w:r w:rsidR="00CD1EFB">
        <w:fldChar w:fldCharType="end"/>
      </w:r>
      <w:r w:rsidR="00CD1EFB" w:rsidRPr="00B32169">
        <w:t>.</w:t>
      </w:r>
      <w:r w:rsidR="00CD1EFB">
        <w:t xml:space="preserve"> </w:t>
      </w:r>
      <w:r w:rsidR="00CD1EFB" w:rsidRPr="00CD1EFB">
        <w:t>Finally, the meads underwent a centrifugation process and were packaged in disinfected bottles, thus guaranteeing the integrity and quality of the final product</w:t>
      </w:r>
      <w:r w:rsidR="00FF1497">
        <w:t>.</w:t>
      </w:r>
    </w:p>
    <w:p w14:paraId="2E94D8CB" w14:textId="77777777" w:rsidR="0072456D" w:rsidRDefault="0072456D" w:rsidP="00DB1099">
      <w:pPr>
        <w:pStyle w:val="CETBodytext"/>
      </w:pPr>
    </w:p>
    <w:p w14:paraId="6EDC27AC" w14:textId="41C6622E" w:rsidR="00074591" w:rsidRPr="00074591" w:rsidRDefault="00074591" w:rsidP="00DB1099">
      <w:pPr>
        <w:pStyle w:val="CETBodytext"/>
      </w:pPr>
      <w:r w:rsidRPr="00074591">
        <w:t>The measurement of total soluble solids was conducted using a digital refractometer (0 to 85</w:t>
      </w:r>
      <w:r>
        <w:t>°Bx</w:t>
      </w:r>
      <w:r w:rsidRPr="00074591">
        <w:t>), brand SKU: HI 96801, distributed by Hanna Instruments. At the end of the fermentation process, the characterization of the meads involved determining their alcoholic strength and volatile acidity. To determine the alcoholic strength of the meads, measured as Ethanol (% v/v), it was necessary to distill each sample in triplicate. For this test, 50 mL of mead was measured in a 50 mL test tube. Subsequently, a simple distillation setup was employed, involving placing the sample in a round-bottom flask on a thermal blanket, with the addition of boiling beads to facilitate the process. The resulting distillate was collected in the 50 mL tube. After completing the distillation procedure, the sample volume was adjusted with distilled water until reaching the 50 mL mark.</w:t>
      </w:r>
    </w:p>
    <w:p w14:paraId="7808ED74" w14:textId="77777777" w:rsidR="00074591" w:rsidRPr="00037C52" w:rsidRDefault="00074591" w:rsidP="00DB1099">
      <w:pPr>
        <w:pStyle w:val="CETBodytext"/>
      </w:pPr>
    </w:p>
    <w:p w14:paraId="1DF03012" w14:textId="7ED04827" w:rsidR="00074591" w:rsidRDefault="00037C52" w:rsidP="00DB1099">
      <w:pPr>
        <w:pStyle w:val="CETBodytext"/>
      </w:pPr>
      <w:r w:rsidRPr="00037C52">
        <w:t>The calculation of alcoholic strength was carried out using a breathalyzer. The determination of volatile acidity, expressed in grams of acetic acid per liter (g acetic acid/L), involved the distillation of 50 mL of each sample. Subsequently, the collected distillate was adjusted to a volume of 50 mL by adding distilled water. To facilitate subsequent evaluation, 3 drops of a 2% ethanolic solution of phenolphthalein were added to the distillate as an indicator. The distillate was then titrated with a 0.1 N NaOH solution.</w:t>
      </w:r>
    </w:p>
    <w:p w14:paraId="61C8F26A" w14:textId="77777777" w:rsidR="00074591" w:rsidRDefault="00074591" w:rsidP="00DB1099">
      <w:pPr>
        <w:pStyle w:val="CETBodytext"/>
      </w:pPr>
    </w:p>
    <w:p w14:paraId="55FC7974" w14:textId="601BFC47" w:rsidR="00B4592C" w:rsidRPr="00F2336D" w:rsidRDefault="00F2336D" w:rsidP="001E59E7">
      <w:pPr>
        <w:pStyle w:val="CETheadingx"/>
      </w:pPr>
      <w:r w:rsidRPr="00F2336D">
        <w:t>Estimation of materials, equipment, and supplies of the</w:t>
      </w:r>
      <w:r>
        <w:t xml:space="preserve"> </w:t>
      </w:r>
      <w:r w:rsidRPr="00F2336D">
        <w:t>Multiactive Cooperative of Organic Beekeepers Montes de María (Cooapomiel).</w:t>
      </w:r>
    </w:p>
    <w:p w14:paraId="6D12D1FE" w14:textId="0199DB82" w:rsidR="00521DAA" w:rsidRDefault="00521DAA" w:rsidP="00032C04">
      <w:pPr>
        <w:rPr>
          <w:lang w:val="en-US"/>
        </w:rPr>
      </w:pPr>
      <w:r w:rsidRPr="00521DAA">
        <w:rPr>
          <w:lang w:val="en-US"/>
        </w:rPr>
        <w:t xml:space="preserve">In this </w:t>
      </w:r>
      <w:r>
        <w:rPr>
          <w:lang w:val="en-US"/>
        </w:rPr>
        <w:t>research</w:t>
      </w:r>
      <w:r w:rsidRPr="00521DAA">
        <w:rPr>
          <w:lang w:val="en-US"/>
        </w:rPr>
        <w:t xml:space="preserve">, an evaluation of the materials, equipment, and requirements of the cooperative was conducted to analyze the feasibility of starting the production of mead. A series of direct consultations were held with the general manager of Cooapomiel. Among the questions asked were: 'What is the number of members currently belonging to the Cooperative?', 'Could you provide us with information on the production levels of honey and wax during the most recent period (2022 – 2023)?', 'Could you tell us about the different types of products currently offered?', 'What equipment do you have in the plant?', and 'What are the types of products you offer?' The final </w:t>
      </w:r>
      <w:r>
        <w:rPr>
          <w:lang w:val="en-US"/>
        </w:rPr>
        <w:t>aim</w:t>
      </w:r>
      <w:r w:rsidRPr="00521DAA">
        <w:rPr>
          <w:lang w:val="en-US"/>
        </w:rPr>
        <w:t xml:space="preserve"> was to determine the feasibility of including mead as one of the value-added products.</w:t>
      </w:r>
    </w:p>
    <w:p w14:paraId="00ED2983" w14:textId="77777777" w:rsidR="00521DAA" w:rsidRDefault="00521DAA" w:rsidP="00032C04">
      <w:pPr>
        <w:rPr>
          <w:lang w:val="en-US"/>
        </w:rPr>
      </w:pPr>
    </w:p>
    <w:p w14:paraId="04FFE706" w14:textId="3D060590" w:rsidR="00521DAA" w:rsidRDefault="00521DAA" w:rsidP="00032C04">
      <w:pPr>
        <w:rPr>
          <w:lang w:val="en-US"/>
        </w:rPr>
      </w:pPr>
      <w:r w:rsidRPr="00521DAA">
        <w:rPr>
          <w:lang w:val="en-US"/>
        </w:rPr>
        <w:lastRenderedPageBreak/>
        <w:t>The intention behind this effort was to explore the potential benefits and advantages that such an addition could bring to the Cooperative, as well as to evaluate Cooapomiel's current capabilities and resources</w:t>
      </w:r>
      <w:r>
        <w:rPr>
          <w:lang w:val="en-US"/>
        </w:rPr>
        <w:t xml:space="preserve">. </w:t>
      </w:r>
    </w:p>
    <w:p w14:paraId="677EBFF0" w14:textId="3D1217F0" w:rsidR="00600535" w:rsidRDefault="00502A20" w:rsidP="00600535">
      <w:pPr>
        <w:pStyle w:val="CETHeading1"/>
        <w:tabs>
          <w:tab w:val="clear" w:pos="360"/>
          <w:tab w:val="right" w:pos="7100"/>
        </w:tabs>
        <w:jc w:val="both"/>
        <w:rPr>
          <w:lang w:val="en-GB"/>
        </w:rPr>
      </w:pPr>
      <w:r w:rsidRPr="00502A20">
        <w:rPr>
          <w:lang w:val="en-GB"/>
        </w:rPr>
        <w:t>Results and Discussion</w:t>
      </w:r>
    </w:p>
    <w:p w14:paraId="7BF0D76A" w14:textId="6CBDA0DD" w:rsidR="00356CF1" w:rsidRPr="00A57E92" w:rsidRDefault="00356CF1" w:rsidP="005C3690">
      <w:pPr>
        <w:pStyle w:val="CETBodytext"/>
      </w:pPr>
      <w:r w:rsidRPr="00356CF1">
        <w:t>In this study, three different varieties of honey and two different commercial yeasts were used. Consequently, these varieties of honey were designated as follows for the respective locations: San Juan Nepomuceno (S), El Carmen de Bolívar (A), and San Jacinto (J). Simultaneously, the yeasts were labeled as Red Star Premier Classique (C) and Red Star Premier Blanc (B). A total of six (6) different variations of mead were studied</w:t>
      </w:r>
      <w:r>
        <w:t>.</w:t>
      </w:r>
    </w:p>
    <w:p w14:paraId="04963A06" w14:textId="0F731C89" w:rsidR="00600535" w:rsidRPr="00B57B36" w:rsidRDefault="007C42C7" w:rsidP="001E59E7">
      <w:pPr>
        <w:pStyle w:val="CETheadingx"/>
      </w:pPr>
      <w:r w:rsidRPr="007C42C7">
        <w:t>Sugar consumption during fermentation</w:t>
      </w:r>
    </w:p>
    <w:p w14:paraId="376C3599" w14:textId="3D6D45D3" w:rsidR="00C14883" w:rsidRDefault="00CD4EBF" w:rsidP="002B2EF7">
      <w:pPr>
        <w:pStyle w:val="CETBodytext"/>
      </w:pPr>
      <w:r w:rsidRPr="00CD4EBF">
        <w:t xml:space="preserve">The results obtained from monitoring the fermentations (triplicate tests) for total soluble solids are shown in </w:t>
      </w:r>
      <w:r w:rsidR="00E346BC">
        <w:rPr>
          <w:lang w:val="es-CO"/>
        </w:rPr>
        <w:fldChar w:fldCharType="begin"/>
      </w:r>
      <w:r w:rsidR="00E346BC">
        <w:instrText xml:space="preserve"> REF _Ref159331385 \h </w:instrText>
      </w:r>
      <w:r w:rsidR="00E346BC">
        <w:rPr>
          <w:lang w:val="es-CO"/>
        </w:rPr>
      </w:r>
      <w:r w:rsidR="00E346BC">
        <w:rPr>
          <w:lang w:val="es-CO"/>
        </w:rPr>
        <w:fldChar w:fldCharType="separate"/>
      </w:r>
      <w:r w:rsidR="00E346BC">
        <w:t xml:space="preserve">Figure </w:t>
      </w:r>
      <w:r w:rsidR="00E346BC">
        <w:rPr>
          <w:noProof/>
        </w:rPr>
        <w:t>2</w:t>
      </w:r>
      <w:r w:rsidR="00E346BC">
        <w:rPr>
          <w:lang w:val="es-CO"/>
        </w:rPr>
        <w:fldChar w:fldCharType="end"/>
      </w:r>
      <w:r w:rsidR="00CC6DA0" w:rsidRPr="006C2E05">
        <w:t xml:space="preserve">. </w:t>
      </w:r>
      <w:r w:rsidRPr="00CD4EBF">
        <w:t xml:space="preserve">Monitoring total soluble solids (°Bx) is commonly used to practically follow the alcoholic fermentation of honey </w:t>
      </w:r>
      <w:r>
        <w:rPr>
          <w:lang w:val="es-CO"/>
        </w:rPr>
        <w:fldChar w:fldCharType="begin" w:fldLock="1"/>
      </w:r>
      <w:r w:rsidRPr="002B2EF7">
        <w:instrText>ADDIN CSL_CITATION {"citationItems":[{"id":"ITEM-1","itemData":{"abstract":"La hidromiel es una bebida alcohÛlica obtenida mediante fermentaciÛn por levaduras de miel diluida. La producciÛn de hidromiel es un proceso que consume mucho tiempo debido principalmente al bajo contenido de nitrÛgeno de la miel. Se evaluÛ: sulfato de amonio, fosfato di·cido de amonio, extracto de levadura y polen. Las fermentaciones fueron realizadas a 25°C usando Saccharomyces cerevisiae. El tiempo de fermentaciÛn se redujo en los mostos con adiciones de sulfato de amonio y extracto de levadura en comparaciÛn al mosto sin adiciÛn de fuentes de nitrÛgeno.","author":[{"dropping-particle":"","family":"Blanco","given":"Amaury","non-dropping-particle":"","parse-names":false,"suffix":""},{"dropping-particle":"","family":"Quicazán","given":"Marta","non-dropping-particle":"","parse-names":false,"suffix":""},{"dropping-particle":"","family":"Cuenca","given":"Marta","non-dropping-particle":"","parse-names":false,"suffix":""}],"container-title":"Vitae","id":"ITEM-1","issue":"1","issued":{"date-parts":[["2012"]]},"page":"234-236","title":"Effect of some nitrogen sources in the alcoholic fermentation of honey","type":"article-journal","volume":"19"},"uris":["http://www.mendeley.com/documents/?uuid=5b71ce55-8c71-475e-bb86-dc23e5568497"]}],"mendeley":{"formattedCitation":"(Blanco et al., 2012)","plainTextFormattedCitation":"(Blanco et al., 2012)","previouslyFormattedCitation":"(Blanco et al., 2012)"},"properties":{"noteIndex":0},"schema":"https://github.com/citation-style-language/schema/raw/master/csl-citation.json"}</w:instrText>
      </w:r>
      <w:r>
        <w:rPr>
          <w:lang w:val="es-CO"/>
        </w:rPr>
        <w:fldChar w:fldCharType="separate"/>
      </w:r>
      <w:r w:rsidRPr="002B2EF7">
        <w:rPr>
          <w:noProof/>
        </w:rPr>
        <w:t>(Blanco et al., 2012)</w:t>
      </w:r>
      <w:r>
        <w:rPr>
          <w:lang w:val="es-CO"/>
        </w:rPr>
        <w:fldChar w:fldCharType="end"/>
      </w:r>
      <w:r>
        <w:t>.</w:t>
      </w:r>
      <w:r w:rsidRPr="00CD4EBF">
        <w:t xml:space="preserve"> Furthermore, this monitoring technique has recently been used to estimate the relative contributions of two different types of honey </w:t>
      </w:r>
      <w:r>
        <w:rPr>
          <w:lang w:val="es-CO"/>
        </w:rPr>
        <w:fldChar w:fldCharType="begin" w:fldLock="1"/>
      </w:r>
      <w:r w:rsidRPr="00A954E1">
        <w:instrText>ADDIN CSL_CITATION {"citationItems":[{"id":"ITEM-1","itemData":{"author":[{"dropping-particle":"","family":"Caicedo","given":"Pamela","non-dropping-particle":"","parse-names":false,"suffix":""},{"dropping-particle":"","family":"Vinueza","given":"Cristina","non-dropping-particle":"","parse-names":false,"suffix":""},{"dropping-particle":"","family":"Cabrera","given":"Jimena","non-dropping-particle":"","parse-names":false,"suffix":""},{"dropping-particle":"","family":"Hidalgo","given":"Dario","non-dropping-particle":"","parse-names":false,"suffix":""}],"container-title":"Pentaciencias","id":"ITEM-1","issue":"4","issued":{"date-parts":[["2023"]]},"page":"729-740","title":"Preparation of mead from two varieties of honey","type":"article-journal","volume":"5"},"uris":["http://www.mendeley.com/documents/?uuid=2caf8df5-acd9-4e99-9788-9e28b73b1367"]}],"mendeley":{"formattedCitation":"(Caicedo et al., 2023)","plainTextFormattedCitation":"(Caicedo et al., 2023)","previouslyFormattedCitation":"(Caicedo et al., 2023)"},"properties":{"noteIndex":0},"schema":"https://github.com/citation-style-language/schema/raw/master/csl-citation.json"}</w:instrText>
      </w:r>
      <w:r>
        <w:rPr>
          <w:lang w:val="es-CO"/>
        </w:rPr>
        <w:fldChar w:fldCharType="separate"/>
      </w:r>
      <w:r w:rsidRPr="00A954E1">
        <w:rPr>
          <w:noProof/>
        </w:rPr>
        <w:t>(Caicedo et al., 2023)</w:t>
      </w:r>
      <w:r>
        <w:rPr>
          <w:lang w:val="es-CO"/>
        </w:rPr>
        <w:fldChar w:fldCharType="end"/>
      </w:r>
      <w:r w:rsidRPr="00A954E1">
        <w:t xml:space="preserve">. </w:t>
      </w:r>
      <w:r w:rsidRPr="00CD4EBF">
        <w:t xml:space="preserve">The decrease </w:t>
      </w:r>
      <w:r>
        <w:t>of Brix degrees</w:t>
      </w:r>
      <w:r w:rsidRPr="00CD4EBF">
        <w:t xml:space="preserve"> occurs mainly as a result of the consumption of sugars (glucose and fructose) present in the must as a contribution from honey during fermentation </w:t>
      </w:r>
      <w:r>
        <w:rPr>
          <w:lang w:val="es-CO"/>
        </w:rPr>
        <w:fldChar w:fldCharType="begin" w:fldLock="1"/>
      </w:r>
      <w:r w:rsidRPr="002B2EF7">
        <w:instrText xml:space="preserve">ADDIN CSL_CITATION {"citationItems":[{"id":"ITEM-1","itemData":{"DOI":"10.1016/j.fct.2013.06.034","ISSN":"02786915","PMID":"23856495","abstract":"The main aim of the present work was to optimize mead production using Response Surface Methodology. The effects of temperature (x1: 20-30°C) and nutrients concentration (x2: 60-120g/hL) on mead quality, concerning the final concentrations of glucose (Y1), fructose (Y2), ethanol (Y3), glycerol (Y4) and acetic acid (Y5), were studied. Twelve operational conditions were tested. No delays and moods were observed during fermentations. The second order polynomial models determined produced satisfactory fittings of the experimental data with regard to glucose (R2=0.646, p=0.001), ethanol (R2=0.741, p=0.049), glycerol (R2=0.899, p=0.002), fructose (R2=0.902, p=0.033) and acetic acid (R2=0.913, p=0.001). The optimum extraction conditions determined in order to maximize the combined responses were 24°C and a nutrients concentration of 0.88g/L. The mead produced under these conditions had the following characteristics: ethanol concentration of 10.2%, acetic acid 0.54g/L, glycerol 7.8g/L, glucose 1.8g/L and fructose 2.5g/L. These values were in agreement with the predicted and were within the safe limit established for acetic acid and the recommended range for </w:instrText>
      </w:r>
      <w:r w:rsidRPr="003D0C31">
        <w:instrText>glycerol.</w:instrText>
      </w:r>
      <w:r>
        <w:rPr>
          <w:lang w:val="es-CO"/>
        </w:rPr>
        <w:instrText xml:space="preserve"> Furthermore, the residual sugars concentration was also low, decreasing the possibility of occurring undesirable refermentations. © 2</w:instrText>
      </w:r>
      <w:r w:rsidRPr="00907B91">
        <w:instrText>013 Elsevier Ltd.","author":[{"dropping-particle":"","family":"Gomes","given":"Teresa","non-dropping-particle":"","parse-names":false,"suffix":""},{"dropping-particle":"","family":"Barradas","given":"Carla","non-dropping-particle":"","parse-names":false,"suffix":""},{"dropping-particle":"","family":"Dias","given":"Teresa","non-dropping-particle":"","parse-names":false,"suffix":""},{"dropping-particle":"","family":"Verdial","given":"João","non-dropping-particle":"","parse-names":false,"suffix":""},{"dropping-particle":"","family":"Morais","given":"Jorge Sá","non-dropping-particle":"","parse-names":false,"suffix":""},{"dropping-particle":"","family":"Ramalhosa","given":"Elsa","non-dropping-particle":"","parse-names":false,"suffix":""},{"dropping-particle":"","family":"Estevinho","given":"Leticia M.","non-dropping-particle":"","parse-names":false,"suffix":""}],"container-title":"Food and Chemical Toxicology","id":"ITEM-1","issued":{"date-parts":[["2013"]]},"page":"680-686","publisher":"Elsevier Ltd","title":"Optimization of mead production using Response Surface Methodology","type":"article-journal","volume":"59"},"uris":["http://www.mendeley.com/documents/?uuid=f9f6720c-7c7d-418d-8616-78214ee86e92"]}],"mendeley":{"formattedCitation":"(Gomes et al., 2013)","plainTextFormattedCitation":"(Gomes et al., 2013)","previouslyFormattedCitation":"(Gomes et al., 2013)"},"properties":{"noteIndex":0},"schema":"https://github.com/citation-style-language/schema/raw/master/csl-citation.json"}</w:instrText>
      </w:r>
      <w:r>
        <w:rPr>
          <w:lang w:val="es-CO"/>
        </w:rPr>
        <w:fldChar w:fldCharType="separate"/>
      </w:r>
      <w:r w:rsidRPr="00907B91">
        <w:rPr>
          <w:noProof/>
        </w:rPr>
        <w:t>(Gomes et al., 2013)</w:t>
      </w:r>
      <w:r>
        <w:rPr>
          <w:lang w:val="es-CO"/>
        </w:rPr>
        <w:fldChar w:fldCharType="end"/>
      </w:r>
      <w:r w:rsidRPr="00907B91">
        <w:t>.</w:t>
      </w:r>
    </w:p>
    <w:p w14:paraId="18B73CCE" w14:textId="77777777" w:rsidR="00CC6DA0" w:rsidRDefault="00CC6DA0" w:rsidP="002B2EF7">
      <w:pPr>
        <w:pStyle w:val="CETBodytext"/>
      </w:pPr>
    </w:p>
    <w:p w14:paraId="4A383E5B" w14:textId="3E2FE745" w:rsidR="00A16ECB" w:rsidRDefault="00CC6DA0" w:rsidP="00A16ECB">
      <w:pPr>
        <w:pStyle w:val="CETBodytext"/>
      </w:pPr>
      <w:r w:rsidRPr="00CC6DA0">
        <w:t xml:space="preserve">Throughout the fermentation process, a decrease </w:t>
      </w:r>
      <w:r w:rsidR="00876E1B">
        <w:t xml:space="preserve">°Bx </w:t>
      </w:r>
      <w:r w:rsidRPr="00CC6DA0">
        <w:t xml:space="preserve">was evident for all meads in this study, as shown in </w:t>
      </w:r>
      <w:r w:rsidR="00E346BC">
        <w:rPr>
          <w:lang w:val="es-CO"/>
        </w:rPr>
        <w:fldChar w:fldCharType="begin"/>
      </w:r>
      <w:r w:rsidR="00E346BC">
        <w:instrText xml:space="preserve"> REF _Ref159331385 \h </w:instrText>
      </w:r>
      <w:r w:rsidR="00E346BC">
        <w:rPr>
          <w:lang w:val="es-CO"/>
        </w:rPr>
      </w:r>
      <w:r w:rsidR="00E346BC">
        <w:rPr>
          <w:lang w:val="es-CO"/>
        </w:rPr>
        <w:fldChar w:fldCharType="separate"/>
      </w:r>
      <w:r w:rsidR="00E346BC">
        <w:t xml:space="preserve">Figure </w:t>
      </w:r>
      <w:r w:rsidR="00E346BC">
        <w:rPr>
          <w:noProof/>
        </w:rPr>
        <w:t>2</w:t>
      </w:r>
      <w:r w:rsidR="00E346BC">
        <w:rPr>
          <w:lang w:val="es-CO"/>
        </w:rPr>
        <w:fldChar w:fldCharType="end"/>
      </w:r>
      <w:r w:rsidR="00371ABC" w:rsidRPr="005253C8">
        <w:t>.</w:t>
      </w:r>
      <w:r w:rsidR="00371ABC">
        <w:t xml:space="preserve"> </w:t>
      </w:r>
      <w:r w:rsidRPr="00CC6DA0">
        <w:t xml:space="preserve">This decrease was found to be faster and more pronounced after 250 hours of fermentation. Subsequently, a perceptible trend was distinguished, with the </w:t>
      </w:r>
      <w:r w:rsidR="00371ABC">
        <w:t>Brix degrees</w:t>
      </w:r>
      <w:r w:rsidRPr="00CC6DA0">
        <w:t xml:space="preserve"> stabilizing after approximately 300 hours, indicating that the fermentation process had been completed. Although no significant differences were observed between the three different types of honey used in this study, samples containing the yeast strain Red Star Premier Classique (C) showed a more rapid decrease in sugar content. This may be attributed to the inherent </w:t>
      </w:r>
      <w:proofErr w:type="spellStart"/>
      <w:r w:rsidRPr="00CC6DA0">
        <w:t>fructophilic</w:t>
      </w:r>
      <w:proofErr w:type="spellEnd"/>
      <w:r w:rsidRPr="00CC6DA0">
        <w:t xml:space="preserve"> capacity of this yeast strain </w:t>
      </w:r>
      <w:r w:rsidR="00A16ECB">
        <w:rPr>
          <w:lang w:val="es-CO"/>
        </w:rPr>
        <w:fldChar w:fldCharType="begin" w:fldLock="1"/>
      </w:r>
      <w:r w:rsidR="00A16ECB">
        <w:instrText>ADDIN CSL_CITATION {"citationItems":[{"id":"ITEM-1","itemData":{"abstract":"The objective of the work is to establish a culture medium for the growth of the Saccharomyces cerevisiae LABGENMOLH01 strain, used at industrial level to produce Tequila. Three culture media were tested: YPD medium, rich medium containing invert sugar as carbon source and yeast extract as a source of nitrogen, microelements and vitamins. Finally, a medium defined with invert sugar, as a source of carbon, and inorganic sources of nitrogen, vitamins and microelements. Growth kinetics were realized, determining cell growth. To the biomass produced, in the three-different media, were determined their ability to ferment Agave Juice. The results obtained showed that the defined medium, formulated according to the nutritional requirements of the yeast published in the literature, is the one that supports less the growth of the strain, this lower capacity of growth influences negatively the fermentation of Agave Juice.","author":[{"dropping-particle":"","family":"Torres","given":"Cynthia Jareth","non-dropping-particle":"","parse-names":false,"suffix":""},{"dropping-particle":"","family":"Torres","given":"Juan Carlos","non-dropping-particle":"","parse-names":false,"suffix":""}],"container-title":"Jóvenes en la ciencia","id":"ITEM-1","issue":"2","issued":{"date-parts":[["2017"]]},"page":"586-590","title":"Optimization of yeast production with biotechnological interest","type":"article-journal","volume":"3"},"uris":["http://www.mendeley.com/documents/?uuid=7bcb0f4c-9b56-4e9b-869f-1749ff0a7030"]}],"mendeley":{"formattedCitation":"(Torres &amp; Torres, 2017)","manualFormatting":"(Torres and Torres, 2017)","plainTextFormattedCitation":"(Torres &amp; Torres, 2017)","previouslyFormattedCitation":"(Torres &amp; Torres, 2017)"},"properties":{"noteIndex":0},"schema":"https://github.com/citation-style-language/schema/raw/master/csl-citation.json"}</w:instrText>
      </w:r>
      <w:r w:rsidR="00A16ECB">
        <w:rPr>
          <w:lang w:val="es-CO"/>
        </w:rPr>
        <w:fldChar w:fldCharType="separate"/>
      </w:r>
      <w:r w:rsidR="00A16ECB" w:rsidRPr="005253C8">
        <w:rPr>
          <w:noProof/>
        </w:rPr>
        <w:t>(Torres and Torres, 2017)</w:t>
      </w:r>
      <w:r w:rsidR="00A16ECB">
        <w:rPr>
          <w:lang w:val="es-CO"/>
        </w:rPr>
        <w:fldChar w:fldCharType="end"/>
      </w:r>
      <w:r w:rsidR="00A16ECB" w:rsidRPr="005253C8">
        <w:t>.</w:t>
      </w:r>
    </w:p>
    <w:p w14:paraId="5A480059" w14:textId="77777777" w:rsidR="00E346BC" w:rsidRDefault="002B1165" w:rsidP="00E346BC">
      <w:pPr>
        <w:pStyle w:val="CETBodytext"/>
        <w:keepNext/>
      </w:pPr>
      <w:r>
        <w:rPr>
          <w:noProof/>
        </w:rPr>
        <w:drawing>
          <wp:inline distT="0" distB="0" distL="0" distR="0" wp14:anchorId="24048104" wp14:editId="4FEF3810">
            <wp:extent cx="3717890" cy="1803679"/>
            <wp:effectExtent l="0" t="0" r="0" b="6350"/>
            <wp:docPr id="1552736041" name="Gráfico 1">
              <a:extLst xmlns:a="http://schemas.openxmlformats.org/drawingml/2006/main">
                <a:ext uri="{FF2B5EF4-FFF2-40B4-BE49-F238E27FC236}">
                  <a16:creationId xmlns:a16="http://schemas.microsoft.com/office/drawing/2014/main" id="{E0648FBE-38AF-6D00-5491-345B0458C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A36AB6" w14:textId="40D2FD6E" w:rsidR="00C14883" w:rsidRDefault="00E346BC" w:rsidP="00E346BC">
      <w:pPr>
        <w:pStyle w:val="CETCaption"/>
      </w:pPr>
      <w:bookmarkStart w:id="0" w:name="_Ref159331385"/>
      <w:r>
        <w:t xml:space="preserve">Figure </w:t>
      </w:r>
      <w:r>
        <w:fldChar w:fldCharType="begin"/>
      </w:r>
      <w:r>
        <w:instrText xml:space="preserve"> SEQ Figure \* ARABIC </w:instrText>
      </w:r>
      <w:r>
        <w:fldChar w:fldCharType="separate"/>
      </w:r>
      <w:r>
        <w:rPr>
          <w:noProof/>
        </w:rPr>
        <w:t>2</w:t>
      </w:r>
      <w:r>
        <w:fldChar w:fldCharType="end"/>
      </w:r>
      <w:bookmarkEnd w:id="0"/>
      <w:r>
        <w:t xml:space="preserve">: </w:t>
      </w:r>
      <w:r w:rsidRPr="0075157B">
        <w:t>Monitoring of total soluble solids during alcoholic fermentation</w:t>
      </w:r>
      <w:r>
        <w:t>.</w:t>
      </w:r>
    </w:p>
    <w:p w14:paraId="367F0A1B" w14:textId="372F4342" w:rsidR="007C42C7" w:rsidRDefault="007C42C7" w:rsidP="001E59E7">
      <w:pPr>
        <w:pStyle w:val="CETheadingx"/>
      </w:pPr>
      <w:r w:rsidRPr="007C42C7">
        <w:t>Evaluation of ethanol concentration and volatile acidity</w:t>
      </w:r>
    </w:p>
    <w:p w14:paraId="7E495F83" w14:textId="2B3559BE" w:rsidR="004A2437" w:rsidRDefault="004A2437" w:rsidP="001D1D91">
      <w:pPr>
        <w:pStyle w:val="CETBodytext"/>
      </w:pPr>
      <w:r w:rsidRPr="004A2437">
        <w:t xml:space="preserve">In Colombia, the regulation of alcoholic beverages is governed by Decree 1686 of 2012 and subsequent modifications of the Ministry of Health and Social Protection. According to this decree, wine-type drinks must have an alcohol content greater than 6 alcoholic strengths but no more than 15. The results of this </w:t>
      </w:r>
      <w:r>
        <w:t xml:space="preserve">research </w:t>
      </w:r>
      <w:r w:rsidRPr="004A2437">
        <w:t>indicate that the various mead samples are within the limits established for alcoholic strength according to Colombian regulations.</w:t>
      </w:r>
      <w:r w:rsidR="007552BB">
        <w:t xml:space="preserve"> </w:t>
      </w:r>
      <w:r w:rsidRPr="004A2437">
        <w:t xml:space="preserve">According to the results of </w:t>
      </w:r>
      <w:r w:rsidR="00B84E0B">
        <w:fldChar w:fldCharType="begin"/>
      </w:r>
      <w:r w:rsidR="00B84E0B">
        <w:instrText xml:space="preserve"> REF _Ref155923160 \h </w:instrText>
      </w:r>
      <w:r w:rsidR="00B84E0B">
        <w:fldChar w:fldCharType="separate"/>
      </w:r>
      <w:r w:rsidR="00B84E0B" w:rsidRPr="00A648F8">
        <w:t>Table 1</w:t>
      </w:r>
      <w:r w:rsidR="00B84E0B">
        <w:fldChar w:fldCharType="end"/>
      </w:r>
      <w:r w:rsidRPr="003754E6">
        <w:t>,</w:t>
      </w:r>
      <w:r w:rsidR="00B84E0B">
        <w:t xml:space="preserve"> </w:t>
      </w:r>
      <w:r w:rsidRPr="004A2437">
        <w:t>the type of honey had a greater influence on mead production than the yeast strains. Thus, the samples with S honey presented the lowest ethanol</w:t>
      </w:r>
      <w:r>
        <w:t xml:space="preserve"> content</w:t>
      </w:r>
      <w:r w:rsidRPr="004A2437">
        <w:t>, while there was an increase in ethanol</w:t>
      </w:r>
      <w:r>
        <w:t xml:space="preserve"> content</w:t>
      </w:r>
      <w:r w:rsidRPr="004A2437">
        <w:t xml:space="preserve"> for J honey, using B yeast. In general, all the samples analyzed presented acceptable alcohol strength considering the regulations and requirements in the fermentation process.</w:t>
      </w:r>
    </w:p>
    <w:p w14:paraId="0E3DAB95" w14:textId="77777777" w:rsidR="00EF36D2" w:rsidRDefault="00EF36D2" w:rsidP="001D1D91">
      <w:pPr>
        <w:pStyle w:val="CETBodytext"/>
      </w:pPr>
    </w:p>
    <w:p w14:paraId="75E7EA96" w14:textId="20948253" w:rsidR="00EF36D2" w:rsidRDefault="00EF36D2" w:rsidP="001D1D91">
      <w:pPr>
        <w:pStyle w:val="CETBodytext"/>
      </w:pPr>
      <w:r w:rsidRPr="00EF36D2">
        <w:t xml:space="preserve">Volatile acidity is considered a sensory defect in mead, attributed to the presence of acetic bacteria that can cause wine sourness </w:t>
      </w:r>
      <w:r>
        <w:rPr>
          <w:lang w:val="es-CO"/>
        </w:rPr>
        <w:fldChar w:fldCharType="begin" w:fldLock="1"/>
      </w:r>
      <w:r w:rsidRPr="00A476C2">
        <w:instrText>ADDIN CSL_CITATION {"citationItems":[{"id":"ITEM-1","itemData":{"author":[{"dropping-particle":"","family":"Quicazán","given":"Marta","non-dropping-particle":"","parse-names":false,"suffix":""},{"dropping-particle":"","family":"Cuenca","given":"Martha","non-dropping-particle":"","parse-names":false,"suffix":""},{"dropping-particle":"","family":"Blanco","given":"Amaury","non-dropping-particle":"","parse-names":false,"suffix":""}],"editor":[{"dropping-particle":"","family":"Universidad NacionaL de Colombia","given":"","non-dropping-particle":"","parse-names":false,"suffix":""}],"id":"ITEM-1","issued":{"date-parts":[["2018"]]},"number-of-pages":"302","publisher-place":"Bogotá, D. C., Colombia","title":"Mead production in the context of Colombian beekeeping","type":"book"},"uris":["http://www.mendeley.com/documents/?uuid=b3bd6581-ed4f-4d9d-af03-086452ddd843"]}],"mendeley":{"formattedCitation":"(Quicazán et al., 2018)","plainTextFormattedCitation":"(Quicazán et al., 2018)","previouslyFormattedCitation":"(Quicazán et al., 2018)"},"properties":{"noteIndex":0},"schema":"https://github.com/citation-style-language/schema/raw/master/csl-citation.json"}</w:instrText>
      </w:r>
      <w:r>
        <w:rPr>
          <w:lang w:val="es-CO"/>
        </w:rPr>
        <w:fldChar w:fldCharType="separate"/>
      </w:r>
      <w:r w:rsidRPr="00A476C2">
        <w:rPr>
          <w:noProof/>
        </w:rPr>
        <w:t>(Quicazán et al., 2018)</w:t>
      </w:r>
      <w:r>
        <w:rPr>
          <w:lang w:val="es-CO"/>
        </w:rPr>
        <w:fldChar w:fldCharType="end"/>
      </w:r>
      <w:r w:rsidRPr="00A476C2">
        <w:t>.</w:t>
      </w:r>
      <w:r>
        <w:t xml:space="preserve"> </w:t>
      </w:r>
      <w:r w:rsidRPr="00EF36D2">
        <w:t xml:space="preserve">Colombian regulations for table wines (NTC 1244) indicate a maximum value of 1.2 g acetic acid/l for volatile acidity. Therefore, all samples evaluated in </w:t>
      </w:r>
      <w:r w:rsidR="00B84E0B">
        <w:fldChar w:fldCharType="begin"/>
      </w:r>
      <w:r w:rsidR="00B84E0B">
        <w:instrText xml:space="preserve"> REF _Ref155923160 \h </w:instrText>
      </w:r>
      <w:r w:rsidR="00B84E0B">
        <w:fldChar w:fldCharType="separate"/>
      </w:r>
      <w:r w:rsidR="00B84E0B" w:rsidRPr="00A648F8">
        <w:t>Table 1</w:t>
      </w:r>
      <w:r w:rsidR="00B84E0B">
        <w:fldChar w:fldCharType="end"/>
      </w:r>
      <w:r w:rsidR="00B84E0B">
        <w:t xml:space="preserve"> </w:t>
      </w:r>
      <w:r w:rsidRPr="00EF36D2">
        <w:t xml:space="preserve">meet these quality standards, showing lower and very similar values among the different types of mead. High levels of acetic acid are usually related to a higher sugar concentration after alcoholic fermentation is complete. This phenomenon can be attributed to the prolonged fermentation period, which continued for an additional 150 hours after </w:t>
      </w:r>
      <w:r w:rsidR="00070BCA">
        <w:t>Brix degrees</w:t>
      </w:r>
      <w:r w:rsidRPr="00EF36D2">
        <w:t xml:space="preserve"> stabilization </w:t>
      </w:r>
      <w:r>
        <w:fldChar w:fldCharType="begin" w:fldLock="1"/>
      </w:r>
      <w:r>
        <w:instrText>ADDIN CSL_CITATION {"citationItems":[{"id":"ITEM-1","itemData":{"DOI":"10.1016/j.tifs.2020.09.006","ISSN":"09242244","abstract":"Background: Mead is a traditional alcoholic beverage obtained by fermentation of mead wort and is popularly produced at home and/or in small meaderies. Different types of mead can be distinguished based on honey-to-water ratio, addition of spices and/or fruits, and the method of wort preparation. The consumption of mead has gained popularity in Europe owing to the presence of its natural and high-quality compounds. As a result, mead production has remarkably increased during the past years, and increasing attention has been paid to improve its production parameters. Scope and approach: In the first part of this comprehensive review, general aspects of mead production and the characteristic parameters of alcoholic beverages, including organic acid content, pH value, ethanol content, titratable acidity, volatile acidity, and residual sugar content are discussed. In the second part, the aroma profile and sensory acceptability of mead, including parameters that might influence the characteristic aroma of mead, is presented. Key findings and conclusions: The flavor of mead mainly depends on the type of honey used for fermentation, and the analysis of odorants is one of the most important criteria in the quality evaluation of mead. In addition, the presence of hydroxymethylfurfural, one of the major Maillard reaction products, and of phenolic compounds is related to the type of honey used. Furthermore, the antioxidant activity of mead significantly correlates with the type and amount of honey used for mead preparation.","author":[{"dropping-particle":"","family":"Starowicz","given":"Małgorzata","non-dropping-particle":"","parse-names":false,"suffix":""},{"dropping-particle":"","family":"Granvogl","given":"Michael","non-dropping-particle":"","parse-names":false,"suffix":""}],"container-title":"Trends in Food Science and Technology","id":"ITEM-1","issued":{"date-parts":[["2020"]]},"page":"402-416","title":"Trends in food science &amp; technology an overview of mead production and the physicochemical, toxicological, and sensory characteristics of mead with a special emphasis on flavor","type":"article-journal","volume":"106"},"uris":["http://www.mendeley.com/documents/?uuid=0d36c78e-05cf-4c7f-b013-a56722a88122"]}],"mendeley":{"formattedCitation":"(Starowicz &amp; Granvogl, 2020)","plainTextFormattedCitation":"(Starowicz &amp; Granvogl, 2020)","previouslyFormattedCitation":"(Starowicz &amp; Granvogl, 2020)"},"properties":{"noteIndex":0},"schema":"https://github.com/citation-style-language/schema/raw/master/csl-citation.json"}</w:instrText>
      </w:r>
      <w:r>
        <w:fldChar w:fldCharType="separate"/>
      </w:r>
      <w:r w:rsidRPr="00A476C2">
        <w:rPr>
          <w:noProof/>
        </w:rPr>
        <w:t>(Starowicz &amp; Granvogl, 2020)</w:t>
      </w:r>
      <w:r>
        <w:fldChar w:fldCharType="end"/>
      </w:r>
      <w:r>
        <w:t>.</w:t>
      </w:r>
    </w:p>
    <w:p w14:paraId="35C57B3E" w14:textId="2E9404A7" w:rsidR="00A648F8" w:rsidRPr="00A648F8" w:rsidRDefault="00A648F8" w:rsidP="00A648F8">
      <w:pPr>
        <w:pStyle w:val="CETTabletitle"/>
      </w:pPr>
      <w:bookmarkStart w:id="1" w:name="_Ref155923160"/>
      <w:bookmarkStart w:id="2" w:name="_Ref155923151"/>
      <w:r w:rsidRPr="00A648F8">
        <w:lastRenderedPageBreak/>
        <w:t xml:space="preserve">Table </w:t>
      </w:r>
      <w:r w:rsidRPr="00A648F8">
        <w:fldChar w:fldCharType="begin"/>
      </w:r>
      <w:r w:rsidRPr="00A648F8">
        <w:instrText xml:space="preserve"> SEQ Table \* ARABIC </w:instrText>
      </w:r>
      <w:r w:rsidRPr="00A648F8">
        <w:fldChar w:fldCharType="separate"/>
      </w:r>
      <w:r w:rsidRPr="00A648F8">
        <w:t>1</w:t>
      </w:r>
      <w:r w:rsidRPr="00A648F8">
        <w:fldChar w:fldCharType="end"/>
      </w:r>
      <w:bookmarkEnd w:id="1"/>
      <w:r w:rsidRPr="00A648F8">
        <w:t xml:space="preserve">: Ethanol concentration and volatile acidity at the end of the fermentation process in </w:t>
      </w:r>
      <w:r w:rsidR="008925A6">
        <w:t>honey</w:t>
      </w:r>
      <w:r w:rsidRPr="00A648F8">
        <w:t xml:space="preserve"> samples.</w:t>
      </w:r>
      <w:bookmarkEnd w:id="2"/>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tblGrid>
      <w:tr w:rsidR="00A648F8" w:rsidRPr="00B57B36" w14:paraId="4B29AA51" w14:textId="77777777" w:rsidTr="00507B47">
        <w:tc>
          <w:tcPr>
            <w:tcW w:w="1134" w:type="dxa"/>
            <w:tcBorders>
              <w:top w:val="single" w:sz="12" w:space="0" w:color="008000"/>
              <w:bottom w:val="single" w:sz="6" w:space="0" w:color="008000"/>
            </w:tcBorders>
            <w:shd w:val="clear" w:color="auto" w:fill="FFFFFF"/>
          </w:tcPr>
          <w:p w14:paraId="500859EC" w14:textId="49AC63AD" w:rsidR="00A648F8" w:rsidRPr="00B57B36" w:rsidRDefault="00A648F8" w:rsidP="00507B47">
            <w:pPr>
              <w:pStyle w:val="CETBodytext"/>
              <w:rPr>
                <w:lang w:val="en-GB"/>
              </w:rPr>
            </w:pPr>
            <w:r>
              <w:rPr>
                <w:lang w:val="en-GB"/>
              </w:rPr>
              <w:t>Mead samples</w:t>
            </w:r>
          </w:p>
        </w:tc>
        <w:tc>
          <w:tcPr>
            <w:tcW w:w="1134" w:type="dxa"/>
            <w:tcBorders>
              <w:top w:val="single" w:sz="12" w:space="0" w:color="008000"/>
              <w:bottom w:val="single" w:sz="6" w:space="0" w:color="008000"/>
            </w:tcBorders>
            <w:shd w:val="clear" w:color="auto" w:fill="FFFFFF"/>
          </w:tcPr>
          <w:p w14:paraId="6E851069" w14:textId="77777777" w:rsidR="00A648F8" w:rsidRDefault="00A648F8" w:rsidP="00507B47">
            <w:pPr>
              <w:pStyle w:val="CETBodytext"/>
              <w:rPr>
                <w:lang w:val="en-GB"/>
              </w:rPr>
            </w:pPr>
            <w:r w:rsidRPr="00A648F8">
              <w:rPr>
                <w:lang w:val="en-GB"/>
              </w:rPr>
              <w:t>Ethanol</w:t>
            </w:r>
            <w:r>
              <w:rPr>
                <w:lang w:val="en-GB"/>
              </w:rPr>
              <w:t xml:space="preserve"> </w:t>
            </w:r>
          </w:p>
          <w:p w14:paraId="6B6E97E3" w14:textId="495C21AF" w:rsidR="00A648F8" w:rsidRPr="00B57B36" w:rsidRDefault="00A648F8" w:rsidP="00507B47">
            <w:pPr>
              <w:pStyle w:val="CETBodytext"/>
              <w:rPr>
                <w:lang w:val="en-GB"/>
              </w:rPr>
            </w:pPr>
            <w:r w:rsidRPr="00A648F8">
              <w:rPr>
                <w:lang w:val="en-GB"/>
              </w:rPr>
              <w:t>(% V/V)</w:t>
            </w:r>
          </w:p>
        </w:tc>
        <w:tc>
          <w:tcPr>
            <w:tcW w:w="1134" w:type="dxa"/>
            <w:tcBorders>
              <w:top w:val="single" w:sz="12" w:space="0" w:color="008000"/>
              <w:bottom w:val="single" w:sz="6" w:space="0" w:color="008000"/>
            </w:tcBorders>
            <w:shd w:val="clear" w:color="auto" w:fill="FFFFFF"/>
          </w:tcPr>
          <w:p w14:paraId="0FFC0512" w14:textId="77777777" w:rsidR="00A648F8" w:rsidRDefault="00A648F8" w:rsidP="00507B47">
            <w:pPr>
              <w:pStyle w:val="CETBodytext"/>
              <w:rPr>
                <w:lang w:val="en-GB"/>
              </w:rPr>
            </w:pPr>
            <w:r w:rsidRPr="00A648F8">
              <w:rPr>
                <w:lang w:val="en-GB"/>
              </w:rPr>
              <w:t>Volatile acidity</w:t>
            </w:r>
            <w:r>
              <w:rPr>
                <w:lang w:val="en-GB"/>
              </w:rPr>
              <w:t xml:space="preserve"> </w:t>
            </w:r>
          </w:p>
          <w:p w14:paraId="0CC5C18D" w14:textId="10C1E179" w:rsidR="00A648F8" w:rsidRPr="00B57B36" w:rsidRDefault="00A648F8" w:rsidP="00507B47">
            <w:pPr>
              <w:pStyle w:val="CETBodytext"/>
              <w:rPr>
                <w:lang w:val="en-GB"/>
              </w:rPr>
            </w:pPr>
            <w:r w:rsidRPr="00A648F8">
              <w:rPr>
                <w:lang w:val="en-GB"/>
              </w:rPr>
              <w:t>(g</w:t>
            </w:r>
            <w:r>
              <w:rPr>
                <w:lang w:val="en-GB"/>
              </w:rPr>
              <w:t xml:space="preserve"> </w:t>
            </w:r>
            <w:r w:rsidRPr="00A648F8">
              <w:rPr>
                <w:lang w:val="en-GB"/>
              </w:rPr>
              <w:t>acetic acid/L)</w:t>
            </w:r>
          </w:p>
        </w:tc>
      </w:tr>
      <w:tr w:rsidR="00A648F8" w:rsidRPr="00B57B36" w14:paraId="18FA68DB" w14:textId="77777777" w:rsidTr="00507B47">
        <w:tc>
          <w:tcPr>
            <w:tcW w:w="1134" w:type="dxa"/>
            <w:shd w:val="clear" w:color="auto" w:fill="FFFFFF"/>
          </w:tcPr>
          <w:p w14:paraId="1877D42D" w14:textId="78AFFD1C" w:rsidR="00A648F8" w:rsidRPr="00B57B36" w:rsidRDefault="00A648F8" w:rsidP="00A648F8">
            <w:pPr>
              <w:pStyle w:val="CETBodytext"/>
              <w:rPr>
                <w:lang w:val="en-GB"/>
              </w:rPr>
            </w:pPr>
            <w:r w:rsidRPr="008D6703">
              <w:t>BS</w:t>
            </w:r>
          </w:p>
        </w:tc>
        <w:tc>
          <w:tcPr>
            <w:tcW w:w="1134" w:type="dxa"/>
            <w:shd w:val="clear" w:color="auto" w:fill="FFFFFF"/>
          </w:tcPr>
          <w:p w14:paraId="48136FAE" w14:textId="2E93D8C8" w:rsidR="00A648F8" w:rsidRPr="00B57B36" w:rsidRDefault="00A648F8" w:rsidP="00A648F8">
            <w:pPr>
              <w:pStyle w:val="CETBodytext"/>
              <w:rPr>
                <w:lang w:val="en-GB"/>
              </w:rPr>
            </w:pPr>
            <w:r w:rsidRPr="0015019E">
              <w:t>10.5 ± 0.71</w:t>
            </w:r>
          </w:p>
        </w:tc>
        <w:tc>
          <w:tcPr>
            <w:tcW w:w="1134" w:type="dxa"/>
            <w:shd w:val="clear" w:color="auto" w:fill="FFFFFF"/>
          </w:tcPr>
          <w:p w14:paraId="2CB03BEE" w14:textId="5E098232" w:rsidR="00A648F8" w:rsidRPr="00B57B36" w:rsidRDefault="00A648F8" w:rsidP="00A648F8">
            <w:pPr>
              <w:pStyle w:val="CETBodytext"/>
              <w:rPr>
                <w:lang w:val="en-GB"/>
              </w:rPr>
            </w:pPr>
            <w:r w:rsidRPr="00C77BBC">
              <w:t>0.32 ± 0.02</w:t>
            </w:r>
          </w:p>
        </w:tc>
      </w:tr>
      <w:tr w:rsidR="00A648F8" w:rsidRPr="00B57B36" w14:paraId="39443C0C" w14:textId="77777777" w:rsidTr="00507B47">
        <w:tc>
          <w:tcPr>
            <w:tcW w:w="1134" w:type="dxa"/>
            <w:shd w:val="clear" w:color="auto" w:fill="FFFFFF"/>
          </w:tcPr>
          <w:p w14:paraId="3B4DBE45" w14:textId="128E1336" w:rsidR="00A648F8" w:rsidRPr="00B57B36" w:rsidRDefault="00A648F8" w:rsidP="00A648F8">
            <w:pPr>
              <w:pStyle w:val="CETBodytext"/>
              <w:rPr>
                <w:lang w:val="en-GB"/>
              </w:rPr>
            </w:pPr>
            <w:r w:rsidRPr="008D6703">
              <w:t>BC</w:t>
            </w:r>
          </w:p>
        </w:tc>
        <w:tc>
          <w:tcPr>
            <w:tcW w:w="1134" w:type="dxa"/>
            <w:shd w:val="clear" w:color="auto" w:fill="FFFFFF"/>
          </w:tcPr>
          <w:p w14:paraId="308921C7" w14:textId="78F042B3" w:rsidR="00A648F8" w:rsidRPr="00B57B36" w:rsidRDefault="00A648F8" w:rsidP="00A648F8">
            <w:pPr>
              <w:pStyle w:val="CETBodytext"/>
              <w:rPr>
                <w:lang w:val="en-GB"/>
              </w:rPr>
            </w:pPr>
            <w:r w:rsidRPr="0015019E">
              <w:t>13.0 ± 1.41</w:t>
            </w:r>
          </w:p>
        </w:tc>
        <w:tc>
          <w:tcPr>
            <w:tcW w:w="1134" w:type="dxa"/>
            <w:shd w:val="clear" w:color="auto" w:fill="FFFFFF"/>
          </w:tcPr>
          <w:p w14:paraId="17E1986D" w14:textId="2DD4A02A" w:rsidR="00A648F8" w:rsidRPr="00B57B36" w:rsidRDefault="00A648F8" w:rsidP="00A648F8">
            <w:pPr>
              <w:pStyle w:val="CETBodytext"/>
              <w:rPr>
                <w:lang w:val="en-GB"/>
              </w:rPr>
            </w:pPr>
            <w:r w:rsidRPr="00C77BBC">
              <w:t>0.34 ± 0.03</w:t>
            </w:r>
          </w:p>
        </w:tc>
      </w:tr>
      <w:tr w:rsidR="00A648F8" w:rsidRPr="00B57B36" w14:paraId="6DA22504" w14:textId="77777777" w:rsidTr="00507B47">
        <w:tc>
          <w:tcPr>
            <w:tcW w:w="1134" w:type="dxa"/>
            <w:shd w:val="clear" w:color="auto" w:fill="FFFFFF"/>
          </w:tcPr>
          <w:p w14:paraId="0F9F3F2C" w14:textId="6F83B1CA" w:rsidR="00A648F8" w:rsidRPr="00B57B36" w:rsidRDefault="00A648F8" w:rsidP="00A648F8">
            <w:pPr>
              <w:pStyle w:val="CETBodytext"/>
              <w:rPr>
                <w:lang w:val="en-GB"/>
              </w:rPr>
            </w:pPr>
            <w:r w:rsidRPr="008D6703">
              <w:t>BJ</w:t>
            </w:r>
          </w:p>
        </w:tc>
        <w:tc>
          <w:tcPr>
            <w:tcW w:w="1134" w:type="dxa"/>
            <w:shd w:val="clear" w:color="auto" w:fill="FFFFFF"/>
          </w:tcPr>
          <w:p w14:paraId="6B472790" w14:textId="343BC942" w:rsidR="00A648F8" w:rsidRPr="00B57B36" w:rsidRDefault="00A648F8" w:rsidP="00A648F8">
            <w:pPr>
              <w:pStyle w:val="CETBodytext"/>
              <w:rPr>
                <w:lang w:val="en-GB"/>
              </w:rPr>
            </w:pPr>
            <w:r w:rsidRPr="0015019E">
              <w:t>15.0 ± 1.41</w:t>
            </w:r>
          </w:p>
        </w:tc>
        <w:tc>
          <w:tcPr>
            <w:tcW w:w="1134" w:type="dxa"/>
            <w:shd w:val="clear" w:color="auto" w:fill="FFFFFF"/>
          </w:tcPr>
          <w:p w14:paraId="23C5C270" w14:textId="51114998" w:rsidR="00A648F8" w:rsidRPr="00B57B36" w:rsidRDefault="00A648F8" w:rsidP="00A648F8">
            <w:pPr>
              <w:pStyle w:val="CETBodytext"/>
              <w:rPr>
                <w:lang w:val="en-GB"/>
              </w:rPr>
            </w:pPr>
            <w:r w:rsidRPr="00C77BBC">
              <w:t>0.36 ± 0.03</w:t>
            </w:r>
          </w:p>
        </w:tc>
      </w:tr>
      <w:tr w:rsidR="00A648F8" w:rsidRPr="00B57B36" w14:paraId="0DCE9928" w14:textId="77777777" w:rsidTr="00507B47">
        <w:tc>
          <w:tcPr>
            <w:tcW w:w="1134" w:type="dxa"/>
            <w:shd w:val="clear" w:color="auto" w:fill="FFFFFF"/>
          </w:tcPr>
          <w:p w14:paraId="63C5A295" w14:textId="2A4894E9" w:rsidR="00A648F8" w:rsidRPr="00B57B36" w:rsidRDefault="00A648F8" w:rsidP="00A648F8">
            <w:pPr>
              <w:pStyle w:val="CETBodytext"/>
              <w:rPr>
                <w:lang w:val="en-GB"/>
              </w:rPr>
            </w:pPr>
            <w:r w:rsidRPr="008D6703">
              <w:t>CS</w:t>
            </w:r>
          </w:p>
        </w:tc>
        <w:tc>
          <w:tcPr>
            <w:tcW w:w="1134" w:type="dxa"/>
            <w:shd w:val="clear" w:color="auto" w:fill="FFFFFF"/>
          </w:tcPr>
          <w:p w14:paraId="2FFB1ADA" w14:textId="74A4C91B" w:rsidR="00A648F8" w:rsidRPr="00B57B36" w:rsidRDefault="00A648F8" w:rsidP="00A648F8">
            <w:pPr>
              <w:pStyle w:val="CETBodytext"/>
              <w:rPr>
                <w:lang w:val="en-GB"/>
              </w:rPr>
            </w:pPr>
            <w:r w:rsidRPr="0015019E">
              <w:t>11.5 ± 0.71</w:t>
            </w:r>
          </w:p>
        </w:tc>
        <w:tc>
          <w:tcPr>
            <w:tcW w:w="1134" w:type="dxa"/>
            <w:shd w:val="clear" w:color="auto" w:fill="FFFFFF"/>
          </w:tcPr>
          <w:p w14:paraId="4F41E62D" w14:textId="1F4119FF" w:rsidR="00A648F8" w:rsidRPr="00B57B36" w:rsidRDefault="00A648F8" w:rsidP="00A648F8">
            <w:pPr>
              <w:pStyle w:val="CETBodytext"/>
              <w:rPr>
                <w:lang w:val="en-GB"/>
              </w:rPr>
            </w:pPr>
            <w:r w:rsidRPr="00C77BBC">
              <w:t>0.31 ± 0.03</w:t>
            </w:r>
          </w:p>
        </w:tc>
      </w:tr>
      <w:tr w:rsidR="00A648F8" w:rsidRPr="00B57B36" w14:paraId="6CF5951A" w14:textId="77777777" w:rsidTr="00507B47">
        <w:tc>
          <w:tcPr>
            <w:tcW w:w="1134" w:type="dxa"/>
            <w:shd w:val="clear" w:color="auto" w:fill="FFFFFF"/>
          </w:tcPr>
          <w:p w14:paraId="49D65205" w14:textId="3D85724E" w:rsidR="00A648F8" w:rsidRPr="00B57B36" w:rsidRDefault="00A648F8" w:rsidP="00A648F8">
            <w:pPr>
              <w:pStyle w:val="CETBodytext"/>
              <w:rPr>
                <w:lang w:val="en-GB"/>
              </w:rPr>
            </w:pPr>
            <w:r w:rsidRPr="008D6703">
              <w:t>CC</w:t>
            </w:r>
          </w:p>
        </w:tc>
        <w:tc>
          <w:tcPr>
            <w:tcW w:w="1134" w:type="dxa"/>
            <w:shd w:val="clear" w:color="auto" w:fill="FFFFFF"/>
          </w:tcPr>
          <w:p w14:paraId="3E157663" w14:textId="70C412BB" w:rsidR="00A648F8" w:rsidRPr="00B57B36" w:rsidRDefault="00A648F8" w:rsidP="00A648F8">
            <w:pPr>
              <w:pStyle w:val="CETBodytext"/>
              <w:rPr>
                <w:lang w:val="en-GB"/>
              </w:rPr>
            </w:pPr>
            <w:r w:rsidRPr="0015019E">
              <w:t>13.5 ± 0.72</w:t>
            </w:r>
          </w:p>
        </w:tc>
        <w:tc>
          <w:tcPr>
            <w:tcW w:w="1134" w:type="dxa"/>
            <w:shd w:val="clear" w:color="auto" w:fill="FFFFFF"/>
          </w:tcPr>
          <w:p w14:paraId="586B955F" w14:textId="1F8F13F2" w:rsidR="00A648F8" w:rsidRPr="00B57B36" w:rsidRDefault="00A648F8" w:rsidP="00A648F8">
            <w:pPr>
              <w:pStyle w:val="CETBodytext"/>
              <w:rPr>
                <w:lang w:val="en-GB"/>
              </w:rPr>
            </w:pPr>
            <w:r w:rsidRPr="00C77BBC">
              <w:t>0.34 ± 0.03</w:t>
            </w:r>
          </w:p>
        </w:tc>
      </w:tr>
      <w:tr w:rsidR="00A648F8" w:rsidRPr="00B57B36" w14:paraId="1777C522" w14:textId="77777777" w:rsidTr="00507B47">
        <w:tc>
          <w:tcPr>
            <w:tcW w:w="1134" w:type="dxa"/>
            <w:shd w:val="clear" w:color="auto" w:fill="FFFFFF"/>
          </w:tcPr>
          <w:p w14:paraId="59954EC2" w14:textId="236091EA" w:rsidR="00A648F8" w:rsidRPr="00B57B36" w:rsidRDefault="00A648F8" w:rsidP="00A648F8">
            <w:pPr>
              <w:pStyle w:val="CETBodytext"/>
              <w:ind w:right="-1"/>
              <w:rPr>
                <w:rFonts w:cs="Arial"/>
                <w:szCs w:val="18"/>
                <w:lang w:val="en-GB"/>
              </w:rPr>
            </w:pPr>
            <w:r w:rsidRPr="00A96D59">
              <w:t>CJ</w:t>
            </w:r>
          </w:p>
        </w:tc>
        <w:tc>
          <w:tcPr>
            <w:tcW w:w="1134" w:type="dxa"/>
            <w:shd w:val="clear" w:color="auto" w:fill="FFFFFF"/>
          </w:tcPr>
          <w:p w14:paraId="4FFB40F7" w14:textId="4ACA90A7" w:rsidR="00A648F8" w:rsidRPr="00B57B36" w:rsidRDefault="00A648F8" w:rsidP="00A648F8">
            <w:pPr>
              <w:pStyle w:val="CETBodytext"/>
              <w:ind w:right="-1"/>
              <w:rPr>
                <w:rFonts w:cs="Arial"/>
                <w:szCs w:val="18"/>
                <w:lang w:val="en-GB"/>
              </w:rPr>
            </w:pPr>
            <w:r w:rsidRPr="00A96D59">
              <w:t>13.0 ± 1.41</w:t>
            </w:r>
          </w:p>
        </w:tc>
        <w:tc>
          <w:tcPr>
            <w:tcW w:w="1134" w:type="dxa"/>
            <w:shd w:val="clear" w:color="auto" w:fill="FFFFFF"/>
          </w:tcPr>
          <w:p w14:paraId="74F8316C" w14:textId="581C3DEB" w:rsidR="00A648F8" w:rsidRPr="00B57B36" w:rsidRDefault="00A648F8" w:rsidP="00A648F8">
            <w:pPr>
              <w:pStyle w:val="CETBodytext"/>
              <w:ind w:right="-1"/>
              <w:rPr>
                <w:rFonts w:cs="Arial"/>
                <w:szCs w:val="18"/>
                <w:lang w:val="en-GB"/>
              </w:rPr>
            </w:pPr>
            <w:r w:rsidRPr="00A96D59">
              <w:t>0.34 ± 0.02</w:t>
            </w:r>
          </w:p>
        </w:tc>
      </w:tr>
    </w:tbl>
    <w:p w14:paraId="3900F870" w14:textId="3D899766" w:rsidR="00E42E72" w:rsidRPr="00907B91" w:rsidRDefault="00B715E4" w:rsidP="001E59E7">
      <w:pPr>
        <w:pStyle w:val="CETheadingx"/>
      </w:pPr>
      <w:r w:rsidRPr="00907B91">
        <w:t>General feasibility analysis in Cooapomiel</w:t>
      </w:r>
    </w:p>
    <w:p w14:paraId="20A5DC34" w14:textId="1A0056A9" w:rsidR="00194789" w:rsidRDefault="00FC43A1" w:rsidP="007669E7">
      <w:pPr>
        <w:pStyle w:val="CETBodytext"/>
      </w:pPr>
      <w:r w:rsidRPr="00FC43A1">
        <w:t>In response to questions posed to Cooapomiel's general manager, an analysis was carried out, leading to the identification of several key findings. Firstly, it was determined that the Cooperative currently has a total of 34 members. The Cooapomiel warehouse currently houses 3,100 kg of honey and 525 kg of wax for the period between 2022 and 2023. It was verified that Cooapomiel has an estimated production of approximately 15,600 kg per year.</w:t>
      </w:r>
      <w:r w:rsidR="007552BB">
        <w:t xml:space="preserve"> </w:t>
      </w:r>
      <w:r w:rsidRPr="00FC43A1">
        <w:t>Furthermore, it was observed that the equipment at Cooapomiel has remained unused for an extended period of approximately three years. This prolonged downtime can have implications for overall efficiency and effectiveness. The Cooapomiel work area covers two plants: an extractor and a packing house used as a storage warehouse. An inventory revealed a wide range of essential tools and machinery, including a homogenizer, dehumidifier, semi-automatic dosing machine, stainless steel table, 500 L storage tanks, 140 L storage tanks, twelve panel centrifuges, four panel centrifuges, and certifiers.</w:t>
      </w:r>
      <w:r w:rsidR="007552BB">
        <w:t xml:space="preserve"> </w:t>
      </w:r>
      <w:r w:rsidR="00194789" w:rsidRPr="00194789">
        <w:t>Based on all the aforementioned information, it is possible to affirm that Cooapomiel has the physical resources and essential inputs necessary to carry out mead production. This emerges as a viable alternative to exploit honey that has unfavorable storage conditions, such as a high level of humidity (greater than 20%). Additionally, it is essential to carry out a market study, search for potential business partners, carefully examine the regulations regarding alcoholic beverages in Colombia, and consider associated costs.</w:t>
      </w:r>
      <w:r w:rsidR="007552BB">
        <w:t xml:space="preserve"> </w:t>
      </w:r>
      <w:r w:rsidR="00194789" w:rsidRPr="00194789">
        <w:t>It is crucial to emphasize that the development of value-added products, such as mead, derived from bee products, has significant implications at the local, regional, and national levels. It contributes to increasing beekeepers' financial profits, motivating them to expand their apiaries and improve overall productivity</w:t>
      </w:r>
      <w:r w:rsidR="00194789">
        <w:t>.</w:t>
      </w:r>
    </w:p>
    <w:p w14:paraId="68D26B83" w14:textId="0374F5A9" w:rsidR="00600535" w:rsidRPr="00B57B36" w:rsidRDefault="00600535" w:rsidP="00600535">
      <w:pPr>
        <w:pStyle w:val="CETHeading1"/>
        <w:rPr>
          <w:lang w:val="en-GB"/>
        </w:rPr>
      </w:pPr>
      <w:r w:rsidRPr="00B57B36">
        <w:rPr>
          <w:lang w:val="en-GB"/>
        </w:rPr>
        <w:t>Conclusions</w:t>
      </w:r>
    </w:p>
    <w:p w14:paraId="7C97EB1D" w14:textId="134C421F" w:rsidR="00BE23C2" w:rsidRPr="00A31834" w:rsidRDefault="00AA1F60" w:rsidP="00F64904">
      <w:pPr>
        <w:pStyle w:val="CETBodytext"/>
      </w:pPr>
      <w:r w:rsidRPr="00AA1F60">
        <w:t>Beekeeping plays a fundamental role in promoting economic growth in the Colombian Caribbean region. The Montes de María Multiactive Organic Beekeepers Cooperative (Cooapomiel) is a prominent entity that offers a wide range of products. In this study, three varieties of honey from the municipalities of Montes de María were used, namely, San Juan Nepomuceno (S), Carmen de Bolívar (C), and San Jacinto (J), along with two yeast strains: Red Star Premier Classique (C) and Red Star Premier Blanc (C).</w:t>
      </w:r>
      <w:r w:rsidR="007552BB">
        <w:t xml:space="preserve"> </w:t>
      </w:r>
      <w:r w:rsidRPr="00AA1F60">
        <w:t xml:space="preserve">Analysis of the fermentation process using total soluble solids showed similar trends in all samples, although a slightly faster decrease in </w:t>
      </w:r>
      <w:r w:rsidR="00BE23C2">
        <w:t>Brix degrees</w:t>
      </w:r>
      <w:r w:rsidRPr="00AA1F60">
        <w:t xml:space="preserve"> was observed in samples containing yeast C. This phenomenon can be attributed to the yeast’s ability to consume sugars faster. The alcoholic strength and volatile acidity levels at the fermentation's end met the standards established in Colombian regulations for wine-type alcoholic beverages. However, it was observed that the honey type exerted a greater influence on these two parameters, with an increase in acetic acid levels due to the continuation of fermentation 150 hours after the </w:t>
      </w:r>
      <w:r>
        <w:t>Brix degrees</w:t>
      </w:r>
      <w:r w:rsidRPr="00AA1F60">
        <w:t xml:space="preserve"> had stabilized.</w:t>
      </w:r>
      <w:r w:rsidR="007552BB">
        <w:t xml:space="preserve"> </w:t>
      </w:r>
      <w:r w:rsidR="009B4132">
        <w:t>I</w:t>
      </w:r>
      <w:r w:rsidR="009B4132" w:rsidRPr="009B4132">
        <w:t>t was determined that the necessary equipment is available to facilitate a standardized process to produce mead</w:t>
      </w:r>
      <w:r w:rsidR="009B4132">
        <w:t>, a</w:t>
      </w:r>
      <w:r w:rsidR="009B4132" w:rsidRPr="009B4132">
        <w:t>fter evaluating the resources available in Cooapomiel. However, additional investment and market research are imperative, along with identifying suitable business partners and conducting tax analysis. Consequently, the technical feasibility of mead production in Cooapomiel is supported by the honey quality parameters described in this research, as well as by the recommendations for its implementation in the national beekeeping market</w:t>
      </w:r>
      <w:r w:rsidR="004A6A4E">
        <w:t>.</w:t>
      </w:r>
    </w:p>
    <w:p w14:paraId="459D05E6" w14:textId="6F10472E" w:rsidR="00600535" w:rsidRPr="00A31834" w:rsidRDefault="00600535" w:rsidP="00600535">
      <w:pPr>
        <w:pStyle w:val="CETAcknowledgementstitle"/>
        <w:rPr>
          <w:lang w:val="en-US"/>
        </w:rPr>
      </w:pPr>
      <w:r w:rsidRPr="00A31834">
        <w:rPr>
          <w:lang w:val="en-US"/>
        </w:rPr>
        <w:t>Acknowledgments</w:t>
      </w:r>
    </w:p>
    <w:p w14:paraId="62EE6BE8" w14:textId="4CDBB499" w:rsidR="00205B54" w:rsidRDefault="00205B54" w:rsidP="00600535">
      <w:pPr>
        <w:pStyle w:val="CETBodytext"/>
        <w:rPr>
          <w:lang w:val="en-GB"/>
        </w:rPr>
      </w:pPr>
      <w:r w:rsidRPr="00205B54">
        <w:rPr>
          <w:lang w:val="en-GB"/>
        </w:rPr>
        <w:t>The authors would like to extend their gratitude to the University of Cartagena, the Multiactive Cooperative of Organic Beekeepers Montes de María (Cooapomiel), and the Ministry of Science, Technology, and Innovation of Colombia (MINCIENCIAS) for their invaluable assistance and support in conducting this research</w:t>
      </w:r>
      <w:r>
        <w:rPr>
          <w:lang w:val="en-GB"/>
        </w:rPr>
        <w:t>.</w:t>
      </w:r>
    </w:p>
    <w:p w14:paraId="356D8AD7" w14:textId="77777777" w:rsidR="007552BB" w:rsidRDefault="007552BB" w:rsidP="00600535">
      <w:pPr>
        <w:pStyle w:val="CETBodytext"/>
        <w:rPr>
          <w:lang w:val="en-GB"/>
        </w:rPr>
      </w:pPr>
    </w:p>
    <w:p w14:paraId="737DD6A2" w14:textId="77777777" w:rsidR="007552BB" w:rsidRDefault="007552BB" w:rsidP="00600535">
      <w:pPr>
        <w:pStyle w:val="CETBodytext"/>
        <w:rPr>
          <w:lang w:val="en-GB"/>
        </w:rPr>
      </w:pPr>
    </w:p>
    <w:p w14:paraId="4F1327F8" w14:textId="77777777" w:rsidR="00600535" w:rsidRPr="00A954E1" w:rsidRDefault="00600535" w:rsidP="00600535">
      <w:pPr>
        <w:pStyle w:val="CETReference"/>
        <w:rPr>
          <w:lang w:val="en-US"/>
        </w:rPr>
      </w:pPr>
      <w:r w:rsidRPr="00A954E1">
        <w:rPr>
          <w:lang w:val="en-US"/>
        </w:rPr>
        <w:lastRenderedPageBreak/>
        <w:t>References</w:t>
      </w:r>
    </w:p>
    <w:p w14:paraId="2AAFCB9C" w14:textId="77777777" w:rsidR="00774F01" w:rsidRPr="00774F01" w:rsidRDefault="00774F01" w:rsidP="00774F01">
      <w:pPr>
        <w:pStyle w:val="CETReferencetext"/>
        <w:rPr>
          <w:rFonts w:eastAsia="Aptos"/>
          <w:lang w:val="en-US"/>
        </w:rPr>
      </w:pPr>
      <w:r w:rsidRPr="00774F01">
        <w:rPr>
          <w:rFonts w:eastAsia="Aptos"/>
          <w:lang w:val="en-US"/>
        </w:rPr>
        <w:t>Alzate Mora, D., 2020, Land concentration and Rural, Economic, and Social Development Interest Zones (</w:t>
      </w:r>
      <w:proofErr w:type="spellStart"/>
      <w:r w:rsidRPr="00774F01">
        <w:rPr>
          <w:rFonts w:eastAsia="Aptos"/>
          <w:lang w:val="en-US"/>
        </w:rPr>
        <w:t>Zidres</w:t>
      </w:r>
      <w:proofErr w:type="spellEnd"/>
      <w:r w:rsidRPr="00774F01">
        <w:rPr>
          <w:rFonts w:eastAsia="Aptos"/>
          <w:lang w:val="en-US"/>
        </w:rPr>
        <w:t xml:space="preserve">) in </w:t>
      </w:r>
      <w:proofErr w:type="spellStart"/>
      <w:r w:rsidRPr="00774F01">
        <w:rPr>
          <w:rFonts w:eastAsia="Aptos"/>
          <w:lang w:val="en-US"/>
        </w:rPr>
        <w:t>los</w:t>
      </w:r>
      <w:proofErr w:type="spellEnd"/>
      <w:r w:rsidRPr="00774F01">
        <w:rPr>
          <w:rFonts w:eastAsia="Aptos"/>
          <w:lang w:val="en-US"/>
        </w:rPr>
        <w:t xml:space="preserve"> Montes de María, María La Baja and Carmen de Bolívar, </w:t>
      </w:r>
      <w:proofErr w:type="spellStart"/>
      <w:r w:rsidRPr="00774F01">
        <w:rPr>
          <w:rFonts w:eastAsia="Aptos"/>
          <w:lang w:val="en-US"/>
        </w:rPr>
        <w:t>Prolegómenos</w:t>
      </w:r>
      <w:proofErr w:type="spellEnd"/>
      <w:r w:rsidRPr="00774F01">
        <w:rPr>
          <w:rFonts w:eastAsia="Aptos"/>
          <w:lang w:val="en-US"/>
        </w:rPr>
        <w:t xml:space="preserve">, 23(46), 51–70. </w:t>
      </w:r>
    </w:p>
    <w:p w14:paraId="3522FB03" w14:textId="77777777" w:rsidR="00774F01" w:rsidRPr="00774F01" w:rsidRDefault="00774F01" w:rsidP="00774F01">
      <w:pPr>
        <w:pStyle w:val="CETReferencetext"/>
        <w:rPr>
          <w:rFonts w:eastAsia="Aptos"/>
          <w:lang w:val="en-US"/>
        </w:rPr>
      </w:pPr>
      <w:r w:rsidRPr="00774F01">
        <w:rPr>
          <w:rFonts w:eastAsia="Aptos"/>
          <w:lang w:val="en-US"/>
        </w:rPr>
        <w:t>Amores-Arrocha, A., Sancho-Galán, P., Jiménez-</w:t>
      </w:r>
      <w:proofErr w:type="spellStart"/>
      <w:r w:rsidRPr="00774F01">
        <w:rPr>
          <w:rFonts w:eastAsia="Aptos"/>
          <w:lang w:val="en-US"/>
        </w:rPr>
        <w:t>Cantizano</w:t>
      </w:r>
      <w:proofErr w:type="spellEnd"/>
      <w:r w:rsidRPr="00774F01">
        <w:rPr>
          <w:rFonts w:eastAsia="Aptos"/>
          <w:lang w:val="en-US"/>
        </w:rPr>
        <w:t xml:space="preserve">, A., Palacios, V., 2020, Bee pollen role in red winemaking: volatile compounds and sensory characteristics of </w:t>
      </w:r>
      <w:proofErr w:type="spellStart"/>
      <w:r w:rsidRPr="00774F01">
        <w:rPr>
          <w:rFonts w:eastAsia="Aptos"/>
          <w:lang w:val="en-US"/>
        </w:rPr>
        <w:t>tintilla</w:t>
      </w:r>
      <w:proofErr w:type="spellEnd"/>
      <w:r w:rsidRPr="00774F01">
        <w:rPr>
          <w:rFonts w:eastAsia="Aptos"/>
          <w:lang w:val="en-US"/>
        </w:rPr>
        <w:t xml:space="preserve"> de </w:t>
      </w:r>
      <w:proofErr w:type="spellStart"/>
      <w:r w:rsidRPr="00774F01">
        <w:rPr>
          <w:rFonts w:eastAsia="Aptos"/>
          <w:lang w:val="en-US"/>
        </w:rPr>
        <w:t>rota</w:t>
      </w:r>
      <w:proofErr w:type="spellEnd"/>
      <w:r w:rsidRPr="00774F01">
        <w:rPr>
          <w:rFonts w:eastAsia="Aptos"/>
          <w:lang w:val="en-US"/>
        </w:rPr>
        <w:t xml:space="preserve"> warm climate red wines, Foods, 9(8), 1–14.</w:t>
      </w:r>
    </w:p>
    <w:p w14:paraId="2A4E2022" w14:textId="3FB9B737" w:rsidR="00774F01" w:rsidRDefault="00774F01" w:rsidP="00774F01">
      <w:pPr>
        <w:pStyle w:val="CETReferencetext"/>
        <w:rPr>
          <w:rFonts w:eastAsia="Aptos"/>
          <w:lang w:val="en-US"/>
        </w:rPr>
      </w:pPr>
      <w:r w:rsidRPr="00774F01">
        <w:rPr>
          <w:rFonts w:eastAsia="Aptos"/>
          <w:lang w:val="en-US"/>
        </w:rPr>
        <w:t xml:space="preserve">Andrade Barreto, S. M., Martins da Silva, A. B., </w:t>
      </w:r>
      <w:proofErr w:type="spellStart"/>
      <w:r w:rsidRPr="00774F01">
        <w:rPr>
          <w:rFonts w:eastAsia="Aptos"/>
          <w:lang w:val="en-US"/>
        </w:rPr>
        <w:t>Prudêncio</w:t>
      </w:r>
      <w:proofErr w:type="spellEnd"/>
      <w:r w:rsidRPr="00774F01">
        <w:rPr>
          <w:rFonts w:eastAsia="Aptos"/>
          <w:lang w:val="en-US"/>
        </w:rPr>
        <w:t xml:space="preserve"> Dutra, M. da C., Costa Bastos, D., de Brito Araújo Carvalho, A. J., Cardoso Viana, A., Narain, N., Dos Santos Lima, M., 2023, Effect of commercial yeasts (Saccharomyces cerevisiae) on fermentation metabolites, phenolic compounds, and </w:t>
      </w:r>
      <w:proofErr w:type="spellStart"/>
      <w:r w:rsidRPr="00774F01">
        <w:rPr>
          <w:rFonts w:eastAsia="Aptos"/>
          <w:lang w:val="en-US"/>
        </w:rPr>
        <w:t>bioaccessibility</w:t>
      </w:r>
      <w:proofErr w:type="spellEnd"/>
      <w:r w:rsidRPr="00774F01">
        <w:rPr>
          <w:rFonts w:eastAsia="Aptos"/>
          <w:lang w:val="en-US"/>
        </w:rPr>
        <w:t xml:space="preserve"> of Brazilian fermented oranges, Food Chemistry, 408, 1–9.</w:t>
      </w:r>
    </w:p>
    <w:p w14:paraId="70A370EC" w14:textId="28178B77" w:rsidR="00A954E1" w:rsidRPr="00A954E1" w:rsidRDefault="00A954E1" w:rsidP="00774F01">
      <w:pPr>
        <w:pStyle w:val="CETReferencetext"/>
        <w:rPr>
          <w:noProof/>
          <w:lang w:val="en-US"/>
        </w:rPr>
      </w:pPr>
      <w:r w:rsidRPr="00A954E1">
        <w:rPr>
          <w:rFonts w:eastAsia="Aptos"/>
          <w:lang w:val="en-US"/>
        </w:rPr>
        <w:t>Blanco, A., Quicazán, M., Cuenca, M., 2012, Effect of some nitrogen sources in the alcoholic fermentation of honey, Vitae, 19(1), 234–236.</w:t>
      </w:r>
    </w:p>
    <w:p w14:paraId="492FF3F0" w14:textId="77777777" w:rsidR="00A954E1" w:rsidRPr="00A954E1" w:rsidRDefault="00A954E1" w:rsidP="00774F01">
      <w:pPr>
        <w:pStyle w:val="CETReferencetext"/>
        <w:rPr>
          <w:noProof/>
          <w:lang w:val="en-US"/>
        </w:rPr>
      </w:pPr>
      <w:r w:rsidRPr="00A954E1">
        <w:rPr>
          <w:rFonts w:eastAsia="Aptos"/>
          <w:lang w:val="en-US"/>
        </w:rPr>
        <w:t xml:space="preserve">Caicedo, P., Vinueza, C., Cabrera, J., Hidalgo, D., 2023, Preparation of mead from two varieties of honey, </w:t>
      </w:r>
      <w:proofErr w:type="spellStart"/>
      <w:r w:rsidRPr="00A954E1">
        <w:rPr>
          <w:rFonts w:eastAsia="Aptos"/>
          <w:lang w:val="en-US"/>
        </w:rPr>
        <w:t>Pentaciencias</w:t>
      </w:r>
      <w:proofErr w:type="spellEnd"/>
      <w:r w:rsidRPr="00A954E1">
        <w:rPr>
          <w:rFonts w:eastAsia="Aptos"/>
          <w:lang w:val="en-US"/>
        </w:rPr>
        <w:t>, 5(4), 729–740.</w:t>
      </w:r>
    </w:p>
    <w:p w14:paraId="4FAE0EBC" w14:textId="77777777" w:rsidR="00A954E1" w:rsidRPr="00A954E1" w:rsidRDefault="00A954E1" w:rsidP="00774F01">
      <w:pPr>
        <w:pStyle w:val="CETReferencetext"/>
        <w:rPr>
          <w:noProof/>
          <w:lang w:val="es-CO"/>
        </w:rPr>
      </w:pPr>
      <w:r w:rsidRPr="00A954E1">
        <w:rPr>
          <w:rFonts w:eastAsia="Aptos"/>
          <w:lang w:val="es-MX"/>
        </w:rPr>
        <w:t xml:space="preserve">Colmenares Guerra, S., 2018, </w:t>
      </w:r>
      <w:proofErr w:type="spellStart"/>
      <w:r w:rsidRPr="00A954E1">
        <w:rPr>
          <w:rFonts w:eastAsia="Aptos"/>
          <w:lang w:val="es-MX"/>
        </w:rPr>
        <w:t>Credit</w:t>
      </w:r>
      <w:proofErr w:type="spellEnd"/>
      <w:r w:rsidRPr="00A954E1">
        <w:rPr>
          <w:rFonts w:eastAsia="Aptos"/>
          <w:lang w:val="es-MX"/>
        </w:rPr>
        <w:t xml:space="preserve">, </w:t>
      </w:r>
      <w:proofErr w:type="spellStart"/>
      <w:r w:rsidRPr="00A954E1">
        <w:rPr>
          <w:rFonts w:eastAsia="Aptos"/>
          <w:lang w:val="es-MX"/>
        </w:rPr>
        <w:t>coercion</w:t>
      </w:r>
      <w:proofErr w:type="spellEnd"/>
      <w:r w:rsidRPr="00A954E1">
        <w:rPr>
          <w:rFonts w:eastAsia="Aptos"/>
          <w:lang w:val="es-MX"/>
        </w:rPr>
        <w:t xml:space="preserve"> and </w:t>
      </w:r>
      <w:proofErr w:type="spellStart"/>
      <w:r w:rsidRPr="00A954E1">
        <w:rPr>
          <w:rFonts w:eastAsia="Aptos"/>
          <w:lang w:val="es-MX"/>
        </w:rPr>
        <w:t>workforce</w:t>
      </w:r>
      <w:proofErr w:type="spellEnd"/>
      <w:r w:rsidRPr="00A954E1">
        <w:rPr>
          <w:rFonts w:eastAsia="Aptos"/>
          <w:lang w:val="es-MX"/>
        </w:rPr>
        <w:t xml:space="preserve"> </w:t>
      </w:r>
      <w:proofErr w:type="spellStart"/>
      <w:r w:rsidRPr="00A954E1">
        <w:rPr>
          <w:rFonts w:eastAsia="Aptos"/>
          <w:lang w:val="es-MX"/>
        </w:rPr>
        <w:t>loyalty</w:t>
      </w:r>
      <w:proofErr w:type="spellEnd"/>
      <w:r w:rsidRPr="00A954E1">
        <w:rPr>
          <w:rFonts w:eastAsia="Aptos"/>
          <w:lang w:val="es-MX"/>
        </w:rPr>
        <w:t xml:space="preserve"> in a </w:t>
      </w:r>
      <w:proofErr w:type="spellStart"/>
      <w:r w:rsidRPr="00A954E1">
        <w:rPr>
          <w:rFonts w:eastAsia="Aptos"/>
          <w:lang w:val="es-MX"/>
        </w:rPr>
        <w:t>border</w:t>
      </w:r>
      <w:proofErr w:type="spellEnd"/>
      <w:r w:rsidRPr="00A954E1">
        <w:rPr>
          <w:rFonts w:eastAsia="Aptos"/>
          <w:lang w:val="es-MX"/>
        </w:rPr>
        <w:t xml:space="preserve"> </w:t>
      </w:r>
      <w:proofErr w:type="spellStart"/>
      <w:r w:rsidRPr="00A954E1">
        <w:rPr>
          <w:rFonts w:eastAsia="Aptos"/>
          <w:lang w:val="es-MX"/>
        </w:rPr>
        <w:t>agricultural</w:t>
      </w:r>
      <w:proofErr w:type="spellEnd"/>
      <w:r w:rsidRPr="00A954E1">
        <w:rPr>
          <w:rFonts w:eastAsia="Aptos"/>
          <w:lang w:val="es-MX"/>
        </w:rPr>
        <w:t xml:space="preserve"> </w:t>
      </w:r>
      <w:proofErr w:type="spellStart"/>
      <w:r w:rsidRPr="00A954E1">
        <w:rPr>
          <w:rFonts w:eastAsia="Aptos"/>
          <w:lang w:val="es-MX"/>
        </w:rPr>
        <w:t>exporter</w:t>
      </w:r>
      <w:proofErr w:type="spellEnd"/>
      <w:r w:rsidRPr="00A954E1">
        <w:rPr>
          <w:rFonts w:eastAsia="Aptos"/>
          <w:lang w:val="es-MX"/>
        </w:rPr>
        <w:t xml:space="preserve">: Montes de María (Colombia), 1850-1914, </w:t>
      </w:r>
      <w:r w:rsidRPr="00A954E1">
        <w:rPr>
          <w:rFonts w:eastAsia="Aptos"/>
          <w:lang w:val="es-CO"/>
        </w:rPr>
        <w:t xml:space="preserve">Investigaciones de Historia Económica, 14(3), 174–187. </w:t>
      </w:r>
    </w:p>
    <w:p w14:paraId="13604AEE" w14:textId="77777777" w:rsidR="00A954E1" w:rsidRPr="00A954E1" w:rsidRDefault="00A954E1" w:rsidP="00774F01">
      <w:pPr>
        <w:pStyle w:val="CETReferencetext"/>
        <w:rPr>
          <w:noProof/>
          <w:lang w:val="en-US"/>
        </w:rPr>
      </w:pPr>
      <w:r w:rsidRPr="00A954E1">
        <w:rPr>
          <w:rFonts w:eastAsia="Aptos"/>
          <w:lang w:val="en-US"/>
        </w:rPr>
        <w:t xml:space="preserve">Cuenca, M., Blanco, A., Quicazán, M., Zuluaga-Domínguez, C., 2022, Optimization and Kinetic Modeling of Honey Fermentation for Laboratory and Pilot-Scale Mead Production, Journal of the American Society of Brewing Chemists, 80(3), 248–257. </w:t>
      </w:r>
    </w:p>
    <w:p w14:paraId="2F986BA9" w14:textId="77777777" w:rsidR="00A954E1" w:rsidRPr="00A954E1" w:rsidRDefault="00A954E1" w:rsidP="00774F01">
      <w:pPr>
        <w:pStyle w:val="CETReferencetext"/>
        <w:rPr>
          <w:noProof/>
          <w:lang w:val="en-US"/>
        </w:rPr>
      </w:pPr>
      <w:r w:rsidRPr="00A954E1">
        <w:rPr>
          <w:rFonts w:eastAsia="Aptos"/>
          <w:lang w:val="en-US"/>
        </w:rPr>
        <w:t xml:space="preserve">Fu, Y., Shi, X., Li, F., Yan, X., Li, B., Luo, Y., Jiang, G., Liu, X., Wang, L., 2023, Fermentation of mead using Saccharomyces cerevisiae and Lactobacillus </w:t>
      </w:r>
      <w:proofErr w:type="spellStart"/>
      <w:r w:rsidRPr="00A954E1">
        <w:rPr>
          <w:rFonts w:eastAsia="Aptos"/>
          <w:lang w:val="en-US"/>
        </w:rPr>
        <w:t>paracasei</w:t>
      </w:r>
      <w:proofErr w:type="spellEnd"/>
      <w:r w:rsidRPr="00A954E1">
        <w:rPr>
          <w:rFonts w:eastAsia="Aptos"/>
          <w:lang w:val="en-US"/>
        </w:rPr>
        <w:t xml:space="preserve">: Strain growth, aroma components and antioxidant capacity, Food Bioscience, 52, 102402. </w:t>
      </w:r>
    </w:p>
    <w:p w14:paraId="0566EF2A" w14:textId="77777777" w:rsidR="00A954E1" w:rsidRPr="00A954E1" w:rsidRDefault="00A954E1" w:rsidP="00774F01">
      <w:pPr>
        <w:pStyle w:val="CETReferencetext"/>
        <w:rPr>
          <w:noProof/>
          <w:lang w:val="en-US"/>
        </w:rPr>
      </w:pPr>
      <w:r w:rsidRPr="00A954E1">
        <w:rPr>
          <w:rFonts w:eastAsia="Aptos"/>
          <w:lang w:val="en-US"/>
        </w:rPr>
        <w:t xml:space="preserve">Gomes, T., Barradas, C., Dias, T., </w:t>
      </w:r>
      <w:proofErr w:type="spellStart"/>
      <w:r w:rsidRPr="00A954E1">
        <w:rPr>
          <w:rFonts w:eastAsia="Aptos"/>
          <w:lang w:val="en-US"/>
        </w:rPr>
        <w:t>Verdial</w:t>
      </w:r>
      <w:proofErr w:type="spellEnd"/>
      <w:r w:rsidRPr="00A954E1">
        <w:rPr>
          <w:rFonts w:eastAsia="Aptos"/>
          <w:lang w:val="en-US"/>
        </w:rPr>
        <w:t xml:space="preserve">, J., Morais, J. S., </w:t>
      </w:r>
      <w:proofErr w:type="spellStart"/>
      <w:r w:rsidRPr="00A954E1">
        <w:rPr>
          <w:rFonts w:eastAsia="Aptos"/>
          <w:lang w:val="en-US"/>
        </w:rPr>
        <w:t>Ramalhosa</w:t>
      </w:r>
      <w:proofErr w:type="spellEnd"/>
      <w:r w:rsidRPr="00A954E1">
        <w:rPr>
          <w:rFonts w:eastAsia="Aptos"/>
          <w:lang w:val="en-US"/>
        </w:rPr>
        <w:t xml:space="preserve">, E., </w:t>
      </w:r>
      <w:proofErr w:type="spellStart"/>
      <w:r w:rsidRPr="00A954E1">
        <w:rPr>
          <w:rFonts w:eastAsia="Aptos"/>
          <w:lang w:val="en-US"/>
        </w:rPr>
        <w:t>Estevinho</w:t>
      </w:r>
      <w:proofErr w:type="spellEnd"/>
      <w:r w:rsidRPr="00A954E1">
        <w:rPr>
          <w:rFonts w:eastAsia="Aptos"/>
          <w:lang w:val="en-US"/>
        </w:rPr>
        <w:t xml:space="preserve">, L. M., 2013, Optimization of mead production using Response Surface Methodology, Food and Chemical Toxicology, 59, 680–686. </w:t>
      </w:r>
    </w:p>
    <w:p w14:paraId="58F1DDA5" w14:textId="77777777" w:rsidR="00A954E1" w:rsidRPr="00A954E1" w:rsidRDefault="00A954E1" w:rsidP="00774F01">
      <w:pPr>
        <w:pStyle w:val="CETReferencetext"/>
        <w:rPr>
          <w:noProof/>
          <w:lang w:val="en-US"/>
        </w:rPr>
      </w:pPr>
      <w:r w:rsidRPr="00A954E1">
        <w:rPr>
          <w:rFonts w:eastAsia="Aptos"/>
          <w:lang w:val="en-US"/>
        </w:rPr>
        <w:t xml:space="preserve">González-Delgado, A., Cuenca, M., Martínez, E., Rincón, B., 2021, Computer-assisted environmental evaluation of the mead production process on a pilot scale in the Department of Boyacá and Bolívar (Colombia), </w:t>
      </w:r>
      <w:proofErr w:type="spellStart"/>
      <w:r w:rsidRPr="00A954E1">
        <w:rPr>
          <w:rFonts w:eastAsia="Aptos"/>
          <w:lang w:val="en-US"/>
        </w:rPr>
        <w:t>Ingeniería</w:t>
      </w:r>
      <w:proofErr w:type="spellEnd"/>
      <w:r w:rsidRPr="00A954E1">
        <w:rPr>
          <w:rFonts w:eastAsia="Aptos"/>
          <w:lang w:val="en-US"/>
        </w:rPr>
        <w:t xml:space="preserve"> y </w:t>
      </w:r>
      <w:proofErr w:type="spellStart"/>
      <w:r w:rsidRPr="00A954E1">
        <w:rPr>
          <w:rFonts w:eastAsia="Aptos"/>
          <w:lang w:val="en-US"/>
        </w:rPr>
        <w:t>Competitividad</w:t>
      </w:r>
      <w:proofErr w:type="spellEnd"/>
      <w:r w:rsidRPr="00A954E1">
        <w:rPr>
          <w:rFonts w:eastAsia="Aptos"/>
          <w:lang w:val="en-US"/>
        </w:rPr>
        <w:t xml:space="preserve">, 21(1), 10. </w:t>
      </w:r>
    </w:p>
    <w:p w14:paraId="51D0F668" w14:textId="77777777" w:rsidR="00A954E1" w:rsidRPr="00A954E1" w:rsidRDefault="00A954E1" w:rsidP="00774F01">
      <w:pPr>
        <w:pStyle w:val="CETReferencetext"/>
        <w:rPr>
          <w:noProof/>
          <w:lang w:val="en-US"/>
        </w:rPr>
      </w:pPr>
      <w:r w:rsidRPr="00A954E1">
        <w:rPr>
          <w:rFonts w:eastAsia="Aptos"/>
          <w:lang w:val="en-US"/>
        </w:rPr>
        <w:t xml:space="preserve">Herrera, J., León, L., Torres, Y., </w:t>
      </w:r>
      <w:proofErr w:type="spellStart"/>
      <w:r w:rsidRPr="00A954E1">
        <w:rPr>
          <w:rFonts w:eastAsia="Aptos"/>
          <w:lang w:val="en-US"/>
        </w:rPr>
        <w:t>Cano</w:t>
      </w:r>
      <w:proofErr w:type="spellEnd"/>
      <w:r w:rsidRPr="00A954E1">
        <w:rPr>
          <w:rFonts w:eastAsia="Aptos"/>
          <w:lang w:val="en-US"/>
        </w:rPr>
        <w:t xml:space="preserve">, N., Herrera, A., Cuenca, M., 2019, Evaluation and selection of commercial yeast for the alcohol fermentation process of mead, </w:t>
      </w:r>
      <w:proofErr w:type="spellStart"/>
      <w:r w:rsidRPr="00A954E1">
        <w:rPr>
          <w:rFonts w:eastAsia="Aptos"/>
          <w:lang w:val="en-US"/>
        </w:rPr>
        <w:t>Publicaciones</w:t>
      </w:r>
      <w:proofErr w:type="spellEnd"/>
      <w:r w:rsidRPr="00A954E1">
        <w:rPr>
          <w:rFonts w:eastAsia="Aptos"/>
          <w:lang w:val="en-US"/>
        </w:rPr>
        <w:t xml:space="preserve"> e </w:t>
      </w:r>
      <w:proofErr w:type="spellStart"/>
      <w:r w:rsidRPr="00A954E1">
        <w:rPr>
          <w:rFonts w:eastAsia="Aptos"/>
          <w:lang w:val="en-US"/>
        </w:rPr>
        <w:t>Investigación</w:t>
      </w:r>
      <w:proofErr w:type="spellEnd"/>
      <w:r w:rsidRPr="00A954E1">
        <w:rPr>
          <w:rFonts w:eastAsia="Aptos"/>
          <w:lang w:val="en-US"/>
        </w:rPr>
        <w:t xml:space="preserve">, 13(2), 23–30. </w:t>
      </w:r>
    </w:p>
    <w:p w14:paraId="5889CA19" w14:textId="77777777" w:rsidR="00A954E1" w:rsidRPr="00A954E1" w:rsidRDefault="00A954E1" w:rsidP="00774F01">
      <w:pPr>
        <w:pStyle w:val="CETReferencetext"/>
        <w:rPr>
          <w:noProof/>
          <w:lang w:val="en-US"/>
        </w:rPr>
      </w:pPr>
      <w:r w:rsidRPr="00A954E1">
        <w:rPr>
          <w:rFonts w:eastAsia="Aptos"/>
          <w:lang w:val="en-US"/>
        </w:rPr>
        <w:t>Kawa-</w:t>
      </w:r>
      <w:proofErr w:type="spellStart"/>
      <w:r w:rsidRPr="00A954E1">
        <w:rPr>
          <w:rFonts w:eastAsia="Aptos"/>
          <w:lang w:val="en-US"/>
        </w:rPr>
        <w:t>Rygielska</w:t>
      </w:r>
      <w:proofErr w:type="spellEnd"/>
      <w:r w:rsidRPr="00A954E1">
        <w:rPr>
          <w:rFonts w:eastAsia="Aptos"/>
          <w:lang w:val="en-US"/>
        </w:rPr>
        <w:t xml:space="preserve">, J., </w:t>
      </w:r>
      <w:proofErr w:type="spellStart"/>
      <w:r w:rsidRPr="00A954E1">
        <w:rPr>
          <w:rFonts w:eastAsia="Aptos"/>
          <w:lang w:val="en-US"/>
        </w:rPr>
        <w:t>Adamenko</w:t>
      </w:r>
      <w:proofErr w:type="spellEnd"/>
      <w:r w:rsidRPr="00A954E1">
        <w:rPr>
          <w:rFonts w:eastAsia="Aptos"/>
          <w:lang w:val="en-US"/>
        </w:rPr>
        <w:t xml:space="preserve">, K., Kucharska, A. Z., Szatkowska, K., 2019, Fruit and herbal meads – Chemical composition and antioxidant properties. Food Chemistry, 283, 19–27. </w:t>
      </w:r>
    </w:p>
    <w:p w14:paraId="391B0483" w14:textId="77777777" w:rsidR="00A954E1" w:rsidRPr="00A954E1" w:rsidRDefault="00A954E1" w:rsidP="00774F01">
      <w:pPr>
        <w:pStyle w:val="CETReferencetext"/>
        <w:rPr>
          <w:noProof/>
          <w:lang w:val="en-US"/>
        </w:rPr>
      </w:pPr>
      <w:r w:rsidRPr="00A954E1">
        <w:rPr>
          <w:rFonts w:eastAsia="Aptos"/>
          <w:lang w:val="en-US"/>
        </w:rPr>
        <w:t xml:space="preserve">Lin, Y., Zhang, W., Li, C., Sakakibara, K., Tanaka, S., Kong, H., 2014, Factors affecting ethanol fermentation using Saccharomyces cerevisiae BY4742, Biomass and Bioenergy, 47, 395–401. </w:t>
      </w:r>
    </w:p>
    <w:p w14:paraId="5C88F0DA" w14:textId="77777777" w:rsidR="00A954E1" w:rsidRPr="00A954E1" w:rsidRDefault="00A954E1" w:rsidP="00774F01">
      <w:pPr>
        <w:pStyle w:val="CETReferencetext"/>
        <w:rPr>
          <w:noProof/>
          <w:lang w:val="es-CO"/>
        </w:rPr>
      </w:pPr>
      <w:r w:rsidRPr="00A954E1">
        <w:rPr>
          <w:rFonts w:eastAsia="Aptos"/>
          <w:lang w:val="es-CO"/>
        </w:rPr>
        <w:t xml:space="preserve">Mercado-Gómez, Y., Mercado-Gómez, J., &amp; Giraldo-Sánchez, C., 2018, </w:t>
      </w:r>
      <w:proofErr w:type="spellStart"/>
      <w:r w:rsidRPr="00A954E1">
        <w:rPr>
          <w:rFonts w:eastAsia="Aptos"/>
          <w:lang w:val="es-CO"/>
        </w:rPr>
        <w:t>Butterflies</w:t>
      </w:r>
      <w:proofErr w:type="spellEnd"/>
      <w:r w:rsidRPr="00A954E1">
        <w:rPr>
          <w:rFonts w:eastAsia="Aptos"/>
          <w:lang w:val="es-CO"/>
        </w:rPr>
        <w:t xml:space="preserve"> in tropical </w:t>
      </w:r>
      <w:proofErr w:type="spellStart"/>
      <w:r w:rsidRPr="00A954E1">
        <w:rPr>
          <w:rFonts w:eastAsia="Aptos"/>
          <w:lang w:val="es-CO"/>
        </w:rPr>
        <w:t>dry</w:t>
      </w:r>
      <w:proofErr w:type="spellEnd"/>
      <w:r w:rsidRPr="00A954E1">
        <w:rPr>
          <w:rFonts w:eastAsia="Aptos"/>
          <w:lang w:val="es-CO"/>
        </w:rPr>
        <w:t xml:space="preserve"> </w:t>
      </w:r>
      <w:proofErr w:type="spellStart"/>
      <w:r w:rsidRPr="00A954E1">
        <w:rPr>
          <w:rFonts w:eastAsia="Aptos"/>
          <w:lang w:val="es-CO"/>
        </w:rPr>
        <w:t>forest</w:t>
      </w:r>
      <w:proofErr w:type="spellEnd"/>
      <w:r w:rsidRPr="00A954E1">
        <w:rPr>
          <w:rFonts w:eastAsia="Aptos"/>
          <w:lang w:val="es-CO"/>
        </w:rPr>
        <w:t xml:space="preserve"> </w:t>
      </w:r>
      <w:proofErr w:type="spellStart"/>
      <w:r w:rsidRPr="00A954E1">
        <w:rPr>
          <w:rFonts w:eastAsia="Aptos"/>
          <w:lang w:val="es-CO"/>
        </w:rPr>
        <w:t>fragment</w:t>
      </w:r>
      <w:proofErr w:type="spellEnd"/>
      <w:r w:rsidRPr="00A954E1">
        <w:rPr>
          <w:rFonts w:eastAsia="Aptos"/>
          <w:lang w:val="es-CO"/>
        </w:rPr>
        <w:t xml:space="preserve"> at Montes of María (Colombia), </w:t>
      </w:r>
      <w:r w:rsidRPr="00A954E1">
        <w:rPr>
          <w:rFonts w:eastAsia="Aptos"/>
          <w:lang w:val="es-MX"/>
        </w:rPr>
        <w:t>Ciencia En Desarrollo, 9(2), 35–45.</w:t>
      </w:r>
    </w:p>
    <w:p w14:paraId="0C8CBE2E" w14:textId="77777777" w:rsidR="00A954E1" w:rsidRPr="00A954E1" w:rsidRDefault="00A954E1" w:rsidP="00774F01">
      <w:pPr>
        <w:pStyle w:val="CETReferencetext"/>
        <w:rPr>
          <w:noProof/>
          <w:lang w:val="es-CO"/>
        </w:rPr>
      </w:pPr>
      <w:r w:rsidRPr="00A954E1">
        <w:rPr>
          <w:rFonts w:eastAsia="Aptos"/>
          <w:lang w:val="en-US"/>
        </w:rPr>
        <w:t xml:space="preserve">Ministry of Agriculture and Rural Development of Colombia (MADR), 2020, Bee and Beekeeping Chain. </w:t>
      </w:r>
      <w:r w:rsidRPr="00A954E1">
        <w:rPr>
          <w:rFonts w:eastAsia="Aptos"/>
          <w:lang w:val="es-CO"/>
        </w:rPr>
        <w:t>&lt;sioc.minagricultura.gov.co/</w:t>
      </w:r>
      <w:proofErr w:type="spellStart"/>
      <w:r w:rsidRPr="00A954E1">
        <w:rPr>
          <w:rFonts w:eastAsia="Aptos"/>
          <w:lang w:val="es-CO"/>
        </w:rPr>
        <w:t>Apicola</w:t>
      </w:r>
      <w:proofErr w:type="spellEnd"/>
      <w:r w:rsidRPr="00A954E1">
        <w:rPr>
          <w:rFonts w:eastAsia="Aptos"/>
          <w:lang w:val="es-CO"/>
        </w:rPr>
        <w:t xml:space="preserve">/Documentos/2020-09-30 Cifras Sectoriales.pdf&gt; </w:t>
      </w:r>
      <w:proofErr w:type="spellStart"/>
      <w:r w:rsidRPr="00A954E1">
        <w:rPr>
          <w:rFonts w:eastAsia="Aptos"/>
          <w:lang w:val="es-CO"/>
        </w:rPr>
        <w:t>accessed</w:t>
      </w:r>
      <w:proofErr w:type="spellEnd"/>
      <w:r w:rsidRPr="00A954E1">
        <w:rPr>
          <w:rFonts w:eastAsia="Aptos"/>
          <w:lang w:val="es-CO"/>
        </w:rPr>
        <w:t xml:space="preserve"> 04.01.2024</w:t>
      </w:r>
    </w:p>
    <w:p w14:paraId="5E3BCC9A" w14:textId="77777777" w:rsidR="00A954E1" w:rsidRPr="00A954E1" w:rsidRDefault="00A954E1" w:rsidP="00774F01">
      <w:pPr>
        <w:pStyle w:val="CETReferencetext"/>
        <w:rPr>
          <w:noProof/>
          <w:lang w:val="en-US"/>
        </w:rPr>
      </w:pPr>
      <w:proofErr w:type="spellStart"/>
      <w:r w:rsidRPr="00A954E1">
        <w:rPr>
          <w:rFonts w:eastAsia="Aptos"/>
          <w:lang w:val="en-US"/>
        </w:rPr>
        <w:t>Ortegón</w:t>
      </w:r>
      <w:proofErr w:type="spellEnd"/>
      <w:r w:rsidRPr="00A954E1">
        <w:rPr>
          <w:rFonts w:eastAsia="Aptos"/>
          <w:lang w:val="en-US"/>
        </w:rPr>
        <w:t xml:space="preserve">, T. M., </w:t>
      </w:r>
      <w:proofErr w:type="spellStart"/>
      <w:r w:rsidRPr="00A954E1">
        <w:rPr>
          <w:rFonts w:eastAsia="Aptos"/>
          <w:lang w:val="en-US"/>
        </w:rPr>
        <w:t>Vinaccia</w:t>
      </w:r>
      <w:proofErr w:type="spellEnd"/>
      <w:r w:rsidRPr="00A954E1">
        <w:rPr>
          <w:rFonts w:eastAsia="Aptos"/>
          <w:lang w:val="en-US"/>
        </w:rPr>
        <w:t xml:space="preserve">, S., Quiceno, J. M., </w:t>
      </w:r>
      <w:proofErr w:type="spellStart"/>
      <w:r w:rsidRPr="00A954E1">
        <w:rPr>
          <w:rFonts w:eastAsia="Aptos"/>
          <w:lang w:val="en-US"/>
        </w:rPr>
        <w:t>Capira</w:t>
      </w:r>
      <w:proofErr w:type="spellEnd"/>
      <w:r w:rsidRPr="00A954E1">
        <w:rPr>
          <w:rFonts w:eastAsia="Aptos"/>
          <w:lang w:val="en-US"/>
        </w:rPr>
        <w:t xml:space="preserve">, A., Cerra, D., Bernal, S., 2022, Social support, resilience, perceived stress, post-traumatic stress, anxiety, </w:t>
      </w:r>
      <w:proofErr w:type="gramStart"/>
      <w:r w:rsidRPr="00A954E1">
        <w:rPr>
          <w:rFonts w:eastAsia="Aptos"/>
          <w:lang w:val="en-US"/>
        </w:rPr>
        <w:t>depression</w:t>
      </w:r>
      <w:proofErr w:type="gramEnd"/>
      <w:r w:rsidRPr="00A954E1">
        <w:rPr>
          <w:rFonts w:eastAsia="Aptos"/>
          <w:lang w:val="en-US"/>
        </w:rPr>
        <w:t xml:space="preserve"> and health-related quality of life in community leader’s victims of the armed conflict in Montes de Maria, Sucre, Colombia, </w:t>
      </w:r>
      <w:proofErr w:type="spellStart"/>
      <w:r w:rsidRPr="00A954E1">
        <w:rPr>
          <w:rFonts w:eastAsia="Aptos"/>
          <w:lang w:val="en-US"/>
        </w:rPr>
        <w:t>Revista</w:t>
      </w:r>
      <w:proofErr w:type="spellEnd"/>
      <w:r w:rsidRPr="00A954E1">
        <w:rPr>
          <w:rFonts w:eastAsia="Aptos"/>
          <w:lang w:val="en-US"/>
        </w:rPr>
        <w:t xml:space="preserve"> Eleuthera, 24(1), 158–178. </w:t>
      </w:r>
    </w:p>
    <w:p w14:paraId="37250584" w14:textId="77777777" w:rsidR="00A954E1" w:rsidRPr="00A954E1" w:rsidRDefault="00A954E1" w:rsidP="00774F01">
      <w:pPr>
        <w:pStyle w:val="CETReferencetext"/>
        <w:rPr>
          <w:noProof/>
          <w:lang w:val="en-US"/>
        </w:rPr>
      </w:pPr>
      <w:r w:rsidRPr="00A954E1">
        <w:rPr>
          <w:rFonts w:eastAsia="Aptos"/>
          <w:lang w:val="en-US"/>
        </w:rPr>
        <w:t xml:space="preserve">Pereira, A. P., Mendes-Ferreira, A., Oliveira, J. M., </w:t>
      </w:r>
      <w:proofErr w:type="spellStart"/>
      <w:r w:rsidRPr="00A954E1">
        <w:rPr>
          <w:rFonts w:eastAsia="Aptos"/>
          <w:lang w:val="en-US"/>
        </w:rPr>
        <w:t>Estevinho</w:t>
      </w:r>
      <w:proofErr w:type="spellEnd"/>
      <w:r w:rsidRPr="00A954E1">
        <w:rPr>
          <w:rFonts w:eastAsia="Aptos"/>
          <w:lang w:val="en-US"/>
        </w:rPr>
        <w:t xml:space="preserve">, L. M., Mendes-Faia, A., 2013, High-cell-density fermentation of Saccharomyces cerevisiae for the </w:t>
      </w:r>
      <w:proofErr w:type="spellStart"/>
      <w:r w:rsidRPr="00A954E1">
        <w:rPr>
          <w:rFonts w:eastAsia="Aptos"/>
          <w:lang w:val="en-US"/>
        </w:rPr>
        <w:t>optimisation</w:t>
      </w:r>
      <w:proofErr w:type="spellEnd"/>
      <w:r w:rsidRPr="00A954E1">
        <w:rPr>
          <w:rFonts w:eastAsia="Aptos"/>
          <w:lang w:val="en-US"/>
        </w:rPr>
        <w:t xml:space="preserve"> of mead production, Food Microbiology, 33(1), 114–123. </w:t>
      </w:r>
    </w:p>
    <w:p w14:paraId="22515D11" w14:textId="6905A637" w:rsidR="00A954E1" w:rsidRPr="00A745A9" w:rsidRDefault="00A954E1" w:rsidP="00774F01">
      <w:pPr>
        <w:pStyle w:val="CETReferencetext"/>
        <w:rPr>
          <w:noProof/>
          <w:lang w:val="en-US"/>
        </w:rPr>
      </w:pPr>
      <w:r w:rsidRPr="00A745A9">
        <w:rPr>
          <w:rFonts w:eastAsia="Aptos"/>
          <w:lang w:val="en-US"/>
        </w:rPr>
        <w:t xml:space="preserve">Quicazán, M., Cuenca, M., &amp; Blanco, A., 2018, Mead production in the context of Colombian </w:t>
      </w:r>
      <w:r w:rsidR="00700694" w:rsidRPr="00A745A9">
        <w:rPr>
          <w:rFonts w:eastAsia="Aptos"/>
          <w:lang w:val="en-US"/>
        </w:rPr>
        <w:t>beekeeping, Universidad</w:t>
      </w:r>
      <w:r w:rsidRPr="00A745A9">
        <w:rPr>
          <w:rFonts w:eastAsia="Aptos"/>
          <w:lang w:val="en-US"/>
        </w:rPr>
        <w:t xml:space="preserve"> Nacional de Colombia, Bogotá, Colombia.</w:t>
      </w:r>
    </w:p>
    <w:p w14:paraId="266C0CED" w14:textId="0FC3E960" w:rsidR="00A954E1" w:rsidRPr="00A954E1" w:rsidRDefault="00A954E1" w:rsidP="00774F01">
      <w:pPr>
        <w:pStyle w:val="CETReferencetext"/>
        <w:rPr>
          <w:noProof/>
          <w:lang w:val="en-US"/>
        </w:rPr>
      </w:pPr>
      <w:r w:rsidRPr="00A954E1">
        <w:rPr>
          <w:rFonts w:eastAsia="Aptos"/>
          <w:lang w:val="en-US"/>
        </w:rPr>
        <w:t xml:space="preserve">Sperandio, G., </w:t>
      </w:r>
      <w:proofErr w:type="spellStart"/>
      <w:r w:rsidRPr="00A954E1">
        <w:rPr>
          <w:rFonts w:eastAsia="Aptos"/>
          <w:lang w:val="en-US"/>
        </w:rPr>
        <w:t>Simonetto</w:t>
      </w:r>
      <w:proofErr w:type="spellEnd"/>
      <w:r w:rsidRPr="00A954E1">
        <w:rPr>
          <w:rFonts w:eastAsia="Aptos"/>
          <w:lang w:val="en-US"/>
        </w:rPr>
        <w:t xml:space="preserve">, A., </w:t>
      </w:r>
      <w:proofErr w:type="spellStart"/>
      <w:r w:rsidRPr="00A954E1">
        <w:rPr>
          <w:rFonts w:eastAsia="Aptos"/>
          <w:lang w:val="en-US"/>
        </w:rPr>
        <w:t>Carnesecchi</w:t>
      </w:r>
      <w:proofErr w:type="spellEnd"/>
      <w:r w:rsidRPr="00A954E1">
        <w:rPr>
          <w:rFonts w:eastAsia="Aptos"/>
          <w:lang w:val="en-US"/>
        </w:rPr>
        <w:t xml:space="preserve">, E., Costa, C., </w:t>
      </w:r>
      <w:proofErr w:type="spellStart"/>
      <w:r w:rsidRPr="00A954E1">
        <w:rPr>
          <w:rFonts w:eastAsia="Aptos"/>
          <w:lang w:val="en-US"/>
        </w:rPr>
        <w:t>Hatjina</w:t>
      </w:r>
      <w:proofErr w:type="spellEnd"/>
      <w:r w:rsidRPr="00A954E1">
        <w:rPr>
          <w:rFonts w:eastAsia="Aptos"/>
          <w:lang w:val="en-US"/>
        </w:rPr>
        <w:t xml:space="preserve">, F., Tosi, S., </w:t>
      </w:r>
      <w:proofErr w:type="spellStart"/>
      <w:r w:rsidRPr="00A954E1">
        <w:rPr>
          <w:rFonts w:eastAsia="Aptos"/>
          <w:lang w:val="en-US"/>
        </w:rPr>
        <w:t>Gilioli</w:t>
      </w:r>
      <w:proofErr w:type="spellEnd"/>
      <w:r w:rsidRPr="00A954E1">
        <w:rPr>
          <w:rFonts w:eastAsia="Aptos"/>
          <w:lang w:val="en-US"/>
        </w:rPr>
        <w:t xml:space="preserve">, G., 2019, Beekeeping and </w:t>
      </w:r>
      <w:proofErr w:type="gramStart"/>
      <w:r w:rsidRPr="00A954E1">
        <w:rPr>
          <w:rFonts w:eastAsia="Aptos"/>
          <w:lang w:val="en-US"/>
        </w:rPr>
        <w:t>honey</w:t>
      </w:r>
      <w:r w:rsidR="00700694">
        <w:rPr>
          <w:rFonts w:eastAsia="Aptos"/>
          <w:lang w:val="en-US"/>
        </w:rPr>
        <w:t xml:space="preserve"> </w:t>
      </w:r>
      <w:r w:rsidRPr="00A954E1">
        <w:rPr>
          <w:rFonts w:eastAsia="Aptos"/>
          <w:lang w:val="en-US"/>
        </w:rPr>
        <w:t>bee</w:t>
      </w:r>
      <w:proofErr w:type="gramEnd"/>
      <w:r w:rsidRPr="00A954E1">
        <w:rPr>
          <w:rFonts w:eastAsia="Aptos"/>
          <w:lang w:val="en-US"/>
        </w:rPr>
        <w:t xml:space="preserve"> colony health: A review and conceptualization of beekeeping management practices implemented in Europe, Science of the Total Environment, 696, 1–12. </w:t>
      </w:r>
    </w:p>
    <w:p w14:paraId="1A3898F9" w14:textId="77777777" w:rsidR="00A954E1" w:rsidRPr="00A954E1" w:rsidRDefault="00A954E1" w:rsidP="00774F01">
      <w:pPr>
        <w:pStyle w:val="CETReferencetext"/>
        <w:rPr>
          <w:noProof/>
          <w:lang w:val="en-US"/>
        </w:rPr>
      </w:pPr>
      <w:r w:rsidRPr="00A954E1">
        <w:rPr>
          <w:rFonts w:eastAsia="Aptos"/>
          <w:lang w:val="en-US"/>
        </w:rPr>
        <w:t xml:space="preserve">Starowicz, M., </w:t>
      </w:r>
      <w:proofErr w:type="spellStart"/>
      <w:r w:rsidRPr="00A954E1">
        <w:rPr>
          <w:rFonts w:eastAsia="Aptos"/>
          <w:lang w:val="en-US"/>
        </w:rPr>
        <w:t>Granvogl</w:t>
      </w:r>
      <w:proofErr w:type="spellEnd"/>
      <w:r w:rsidRPr="00A954E1">
        <w:rPr>
          <w:rFonts w:eastAsia="Aptos"/>
          <w:lang w:val="en-US"/>
        </w:rPr>
        <w:t xml:space="preserve">, M., 2020, Trends in food science &amp; technology an overview of mead production and the physicochemical, toxicological, and sensory characteristics of mead with a special emphasis on flavor, Trends in Food Science and Technology, 106, 402–416. </w:t>
      </w:r>
    </w:p>
    <w:p w14:paraId="085136C4" w14:textId="77777777" w:rsidR="00A954E1" w:rsidRPr="00A954E1" w:rsidRDefault="00A954E1" w:rsidP="00774F01">
      <w:pPr>
        <w:pStyle w:val="CETReferencetext"/>
        <w:rPr>
          <w:noProof/>
          <w:lang w:val="en-US"/>
        </w:rPr>
      </w:pPr>
      <w:r w:rsidRPr="00A954E1">
        <w:rPr>
          <w:rFonts w:eastAsia="Aptos"/>
          <w:lang w:val="en-US"/>
        </w:rPr>
        <w:t xml:space="preserve">Torres, C. J., Torres, J. C., 2017, Optimization of yeast production with biotechnological interest, </w:t>
      </w:r>
      <w:proofErr w:type="spellStart"/>
      <w:r w:rsidRPr="00A954E1">
        <w:rPr>
          <w:rFonts w:eastAsia="Aptos"/>
          <w:lang w:val="en-US"/>
        </w:rPr>
        <w:t>Jóvenes</w:t>
      </w:r>
      <w:proofErr w:type="spellEnd"/>
      <w:r w:rsidRPr="00A954E1">
        <w:rPr>
          <w:rFonts w:eastAsia="Aptos"/>
          <w:lang w:val="en-US"/>
        </w:rPr>
        <w:t xml:space="preserve"> En La </w:t>
      </w:r>
      <w:proofErr w:type="spellStart"/>
      <w:r w:rsidRPr="00A954E1">
        <w:rPr>
          <w:rFonts w:eastAsia="Aptos"/>
          <w:lang w:val="en-US"/>
        </w:rPr>
        <w:t>Ciencia</w:t>
      </w:r>
      <w:proofErr w:type="spellEnd"/>
      <w:r w:rsidRPr="00A954E1">
        <w:rPr>
          <w:rFonts w:eastAsia="Aptos"/>
          <w:lang w:val="en-US"/>
        </w:rPr>
        <w:t xml:space="preserve">, 3(2), 586–590. </w:t>
      </w:r>
    </w:p>
    <w:p w14:paraId="19C4FC68" w14:textId="10E8A66B" w:rsidR="004628D2" w:rsidRDefault="00A954E1" w:rsidP="00774F01">
      <w:pPr>
        <w:pStyle w:val="CETReferencetext"/>
      </w:pPr>
      <w:r w:rsidRPr="00A954E1">
        <w:rPr>
          <w:rFonts w:eastAsia="Aptos"/>
          <w:lang w:val="en-US"/>
        </w:rPr>
        <w:t xml:space="preserve">Vallone, M., Orlando, S., </w:t>
      </w:r>
      <w:proofErr w:type="spellStart"/>
      <w:r w:rsidRPr="00A954E1">
        <w:rPr>
          <w:rFonts w:eastAsia="Aptos"/>
          <w:lang w:val="en-US"/>
        </w:rPr>
        <w:t>Alleri</w:t>
      </w:r>
      <w:proofErr w:type="spellEnd"/>
      <w:r w:rsidRPr="00A954E1">
        <w:rPr>
          <w:rFonts w:eastAsia="Aptos"/>
          <w:lang w:val="en-US"/>
        </w:rPr>
        <w:t xml:space="preserve">, M., Ferro, M. V., Catania, P., 2023, Honey Production with Remote Smart Monitoring System, Chemical Engineering Transactions, 102, 169–174. </w:t>
      </w:r>
    </w:p>
    <w:sectPr w:rsidR="004628D2" w:rsidSect="00BE6C2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5E7C" w14:textId="77777777" w:rsidR="00BE6C2D" w:rsidRDefault="00BE6C2D" w:rsidP="004F5E36">
      <w:r>
        <w:separator/>
      </w:r>
    </w:p>
  </w:endnote>
  <w:endnote w:type="continuationSeparator" w:id="0">
    <w:p w14:paraId="4F4D58BB" w14:textId="77777777" w:rsidR="00BE6C2D" w:rsidRDefault="00BE6C2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82E8F" w14:textId="77777777" w:rsidR="00BE6C2D" w:rsidRDefault="00BE6C2D" w:rsidP="004F5E36">
      <w:r>
        <w:separator/>
      </w:r>
    </w:p>
  </w:footnote>
  <w:footnote w:type="continuationSeparator" w:id="0">
    <w:p w14:paraId="1BC815C9" w14:textId="77777777" w:rsidR="00BE6C2D" w:rsidRDefault="00BE6C2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408963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275"/>
    <w:rsid w:val="000117CB"/>
    <w:rsid w:val="0001182C"/>
    <w:rsid w:val="00022782"/>
    <w:rsid w:val="0002418C"/>
    <w:rsid w:val="0003148D"/>
    <w:rsid w:val="00031EEC"/>
    <w:rsid w:val="00032C04"/>
    <w:rsid w:val="00037C52"/>
    <w:rsid w:val="00043F41"/>
    <w:rsid w:val="00047139"/>
    <w:rsid w:val="00051566"/>
    <w:rsid w:val="000562A9"/>
    <w:rsid w:val="00062A9A"/>
    <w:rsid w:val="00065058"/>
    <w:rsid w:val="000658A1"/>
    <w:rsid w:val="00070BCA"/>
    <w:rsid w:val="00074591"/>
    <w:rsid w:val="000775D8"/>
    <w:rsid w:val="00086C39"/>
    <w:rsid w:val="00086DB3"/>
    <w:rsid w:val="0009162C"/>
    <w:rsid w:val="00096EC1"/>
    <w:rsid w:val="000A03B2"/>
    <w:rsid w:val="000B2F1C"/>
    <w:rsid w:val="000D0268"/>
    <w:rsid w:val="000D34BE"/>
    <w:rsid w:val="000E102F"/>
    <w:rsid w:val="000E36F1"/>
    <w:rsid w:val="000E3A73"/>
    <w:rsid w:val="000E414A"/>
    <w:rsid w:val="000F093C"/>
    <w:rsid w:val="000F787B"/>
    <w:rsid w:val="001114A1"/>
    <w:rsid w:val="0012091F"/>
    <w:rsid w:val="00125BA2"/>
    <w:rsid w:val="00126BC2"/>
    <w:rsid w:val="001308B6"/>
    <w:rsid w:val="0013121F"/>
    <w:rsid w:val="00131FE6"/>
    <w:rsid w:val="0013263F"/>
    <w:rsid w:val="0013273A"/>
    <w:rsid w:val="001331DF"/>
    <w:rsid w:val="00134DE4"/>
    <w:rsid w:val="00136A25"/>
    <w:rsid w:val="0014034D"/>
    <w:rsid w:val="00144D16"/>
    <w:rsid w:val="001462A9"/>
    <w:rsid w:val="00150E59"/>
    <w:rsid w:val="00152DE3"/>
    <w:rsid w:val="00156F74"/>
    <w:rsid w:val="00161EE3"/>
    <w:rsid w:val="00164CF9"/>
    <w:rsid w:val="001667A6"/>
    <w:rsid w:val="001668D1"/>
    <w:rsid w:val="001700BF"/>
    <w:rsid w:val="00184AD6"/>
    <w:rsid w:val="00187236"/>
    <w:rsid w:val="00192787"/>
    <w:rsid w:val="00194789"/>
    <w:rsid w:val="001962E3"/>
    <w:rsid w:val="001A4A1A"/>
    <w:rsid w:val="001A4AF7"/>
    <w:rsid w:val="001A6A0C"/>
    <w:rsid w:val="001B0349"/>
    <w:rsid w:val="001B1BBC"/>
    <w:rsid w:val="001B1E93"/>
    <w:rsid w:val="001B5F30"/>
    <w:rsid w:val="001B65C1"/>
    <w:rsid w:val="001C3DA3"/>
    <w:rsid w:val="001C684B"/>
    <w:rsid w:val="001D0CFB"/>
    <w:rsid w:val="001D1D91"/>
    <w:rsid w:val="001D21AF"/>
    <w:rsid w:val="001D53FC"/>
    <w:rsid w:val="001E1162"/>
    <w:rsid w:val="001E59E7"/>
    <w:rsid w:val="001F2947"/>
    <w:rsid w:val="001F42A5"/>
    <w:rsid w:val="001F7B9D"/>
    <w:rsid w:val="00201C93"/>
    <w:rsid w:val="00205B54"/>
    <w:rsid w:val="00221E13"/>
    <w:rsid w:val="002224B4"/>
    <w:rsid w:val="002313AA"/>
    <w:rsid w:val="002447EF"/>
    <w:rsid w:val="0025014F"/>
    <w:rsid w:val="00251550"/>
    <w:rsid w:val="00251E4C"/>
    <w:rsid w:val="00263B05"/>
    <w:rsid w:val="0027221A"/>
    <w:rsid w:val="00275B35"/>
    <w:rsid w:val="00275B61"/>
    <w:rsid w:val="002800AE"/>
    <w:rsid w:val="00280FAF"/>
    <w:rsid w:val="00281424"/>
    <w:rsid w:val="00282656"/>
    <w:rsid w:val="00282A95"/>
    <w:rsid w:val="002840B9"/>
    <w:rsid w:val="002900EC"/>
    <w:rsid w:val="002905C1"/>
    <w:rsid w:val="00293830"/>
    <w:rsid w:val="00296683"/>
    <w:rsid w:val="00296B83"/>
    <w:rsid w:val="002A0276"/>
    <w:rsid w:val="002A17B4"/>
    <w:rsid w:val="002A6DA9"/>
    <w:rsid w:val="002B0706"/>
    <w:rsid w:val="002B1165"/>
    <w:rsid w:val="002B2EF7"/>
    <w:rsid w:val="002B4015"/>
    <w:rsid w:val="002B78CE"/>
    <w:rsid w:val="002C2FB6"/>
    <w:rsid w:val="002E5FA7"/>
    <w:rsid w:val="002F3309"/>
    <w:rsid w:val="002F4548"/>
    <w:rsid w:val="003008CE"/>
    <w:rsid w:val="003009B7"/>
    <w:rsid w:val="00300E56"/>
    <w:rsid w:val="0030152C"/>
    <w:rsid w:val="0030469C"/>
    <w:rsid w:val="00316800"/>
    <w:rsid w:val="00321CA6"/>
    <w:rsid w:val="00323763"/>
    <w:rsid w:val="00323C5F"/>
    <w:rsid w:val="0033443B"/>
    <w:rsid w:val="00334C09"/>
    <w:rsid w:val="00335E77"/>
    <w:rsid w:val="00356CF1"/>
    <w:rsid w:val="003574DC"/>
    <w:rsid w:val="00364223"/>
    <w:rsid w:val="00366A24"/>
    <w:rsid w:val="00371ABC"/>
    <w:rsid w:val="003723D4"/>
    <w:rsid w:val="003754E6"/>
    <w:rsid w:val="00375EE8"/>
    <w:rsid w:val="00381905"/>
    <w:rsid w:val="00384CC8"/>
    <w:rsid w:val="003871FD"/>
    <w:rsid w:val="003A1E30"/>
    <w:rsid w:val="003A2829"/>
    <w:rsid w:val="003A543C"/>
    <w:rsid w:val="003A68AA"/>
    <w:rsid w:val="003A6FC6"/>
    <w:rsid w:val="003A7D1C"/>
    <w:rsid w:val="003B304B"/>
    <w:rsid w:val="003B3146"/>
    <w:rsid w:val="003C183E"/>
    <w:rsid w:val="003C3A01"/>
    <w:rsid w:val="003C637E"/>
    <w:rsid w:val="003D0C31"/>
    <w:rsid w:val="003D32DC"/>
    <w:rsid w:val="003D4C69"/>
    <w:rsid w:val="003E1F63"/>
    <w:rsid w:val="003F015E"/>
    <w:rsid w:val="003F4539"/>
    <w:rsid w:val="003F54BD"/>
    <w:rsid w:val="00400414"/>
    <w:rsid w:val="00401622"/>
    <w:rsid w:val="00405ABF"/>
    <w:rsid w:val="004063F7"/>
    <w:rsid w:val="00407B3C"/>
    <w:rsid w:val="0041446B"/>
    <w:rsid w:val="004251D0"/>
    <w:rsid w:val="00425E19"/>
    <w:rsid w:val="0044071E"/>
    <w:rsid w:val="0044329C"/>
    <w:rsid w:val="00453E24"/>
    <w:rsid w:val="00457456"/>
    <w:rsid w:val="004577FE"/>
    <w:rsid w:val="00457B9C"/>
    <w:rsid w:val="0046164A"/>
    <w:rsid w:val="004628D2"/>
    <w:rsid w:val="00462DCD"/>
    <w:rsid w:val="00463359"/>
    <w:rsid w:val="004648AD"/>
    <w:rsid w:val="004703A9"/>
    <w:rsid w:val="004760DE"/>
    <w:rsid w:val="004761E9"/>
    <w:rsid w:val="004763D7"/>
    <w:rsid w:val="004A004E"/>
    <w:rsid w:val="004A2437"/>
    <w:rsid w:val="004A24CF"/>
    <w:rsid w:val="004A6A4E"/>
    <w:rsid w:val="004B4698"/>
    <w:rsid w:val="004B7C7B"/>
    <w:rsid w:val="004C3D1D"/>
    <w:rsid w:val="004C3D84"/>
    <w:rsid w:val="004C557B"/>
    <w:rsid w:val="004C7913"/>
    <w:rsid w:val="004C7EFD"/>
    <w:rsid w:val="004D22A3"/>
    <w:rsid w:val="004D2FE0"/>
    <w:rsid w:val="004E4DD6"/>
    <w:rsid w:val="004F0E3F"/>
    <w:rsid w:val="004F5BEE"/>
    <w:rsid w:val="004F5E36"/>
    <w:rsid w:val="00501082"/>
    <w:rsid w:val="00502A20"/>
    <w:rsid w:val="00507B47"/>
    <w:rsid w:val="00507BEF"/>
    <w:rsid w:val="00507CC9"/>
    <w:rsid w:val="005119A5"/>
    <w:rsid w:val="00513CC6"/>
    <w:rsid w:val="00516AAC"/>
    <w:rsid w:val="00521DAA"/>
    <w:rsid w:val="005253C8"/>
    <w:rsid w:val="005278B7"/>
    <w:rsid w:val="005316E7"/>
    <w:rsid w:val="00532016"/>
    <w:rsid w:val="005346C8"/>
    <w:rsid w:val="00543E7D"/>
    <w:rsid w:val="00547A68"/>
    <w:rsid w:val="005531C9"/>
    <w:rsid w:val="005561C6"/>
    <w:rsid w:val="00556452"/>
    <w:rsid w:val="00560D47"/>
    <w:rsid w:val="00561C42"/>
    <w:rsid w:val="005638F6"/>
    <w:rsid w:val="00567375"/>
    <w:rsid w:val="00570C43"/>
    <w:rsid w:val="00570E65"/>
    <w:rsid w:val="00590E66"/>
    <w:rsid w:val="00592EA9"/>
    <w:rsid w:val="0059551D"/>
    <w:rsid w:val="00597B02"/>
    <w:rsid w:val="005A2529"/>
    <w:rsid w:val="005B2110"/>
    <w:rsid w:val="005B35AB"/>
    <w:rsid w:val="005B61E6"/>
    <w:rsid w:val="005C216D"/>
    <w:rsid w:val="005C3690"/>
    <w:rsid w:val="005C7102"/>
    <w:rsid w:val="005C77E1"/>
    <w:rsid w:val="005D1CE8"/>
    <w:rsid w:val="005D668A"/>
    <w:rsid w:val="005D6A2F"/>
    <w:rsid w:val="005D74C2"/>
    <w:rsid w:val="005E1A82"/>
    <w:rsid w:val="005E794C"/>
    <w:rsid w:val="005F0A28"/>
    <w:rsid w:val="005F0E5E"/>
    <w:rsid w:val="00600518"/>
    <w:rsid w:val="00600535"/>
    <w:rsid w:val="006010DD"/>
    <w:rsid w:val="00607F20"/>
    <w:rsid w:val="00610CD6"/>
    <w:rsid w:val="00620DEE"/>
    <w:rsid w:val="00621F92"/>
    <w:rsid w:val="0062280A"/>
    <w:rsid w:val="0062521C"/>
    <w:rsid w:val="00625639"/>
    <w:rsid w:val="00631B33"/>
    <w:rsid w:val="00640248"/>
    <w:rsid w:val="0064184D"/>
    <w:rsid w:val="006422CC"/>
    <w:rsid w:val="00644BDC"/>
    <w:rsid w:val="00650AB2"/>
    <w:rsid w:val="0065173F"/>
    <w:rsid w:val="00654EDB"/>
    <w:rsid w:val="0065584D"/>
    <w:rsid w:val="00660D3E"/>
    <w:rsid w:val="00660E3E"/>
    <w:rsid w:val="00662E74"/>
    <w:rsid w:val="00673CCB"/>
    <w:rsid w:val="006752BD"/>
    <w:rsid w:val="006801C6"/>
    <w:rsid w:val="00680C23"/>
    <w:rsid w:val="0069189A"/>
    <w:rsid w:val="00693766"/>
    <w:rsid w:val="006961A8"/>
    <w:rsid w:val="006A1FB3"/>
    <w:rsid w:val="006A3281"/>
    <w:rsid w:val="006B2176"/>
    <w:rsid w:val="006B4888"/>
    <w:rsid w:val="006B6A9E"/>
    <w:rsid w:val="006C02B9"/>
    <w:rsid w:val="006C062A"/>
    <w:rsid w:val="006C2E05"/>
    <w:rsid w:val="006C2E45"/>
    <w:rsid w:val="006C359C"/>
    <w:rsid w:val="006C5579"/>
    <w:rsid w:val="006D6E8B"/>
    <w:rsid w:val="006E0715"/>
    <w:rsid w:val="006E5015"/>
    <w:rsid w:val="006E737D"/>
    <w:rsid w:val="006F4F39"/>
    <w:rsid w:val="006F68F2"/>
    <w:rsid w:val="006F7D14"/>
    <w:rsid w:val="00700694"/>
    <w:rsid w:val="00713973"/>
    <w:rsid w:val="00720A24"/>
    <w:rsid w:val="00723169"/>
    <w:rsid w:val="0072456D"/>
    <w:rsid w:val="00732386"/>
    <w:rsid w:val="00732677"/>
    <w:rsid w:val="0073514D"/>
    <w:rsid w:val="007374F3"/>
    <w:rsid w:val="007447F3"/>
    <w:rsid w:val="0075157B"/>
    <w:rsid w:val="0075499F"/>
    <w:rsid w:val="007552B4"/>
    <w:rsid w:val="007552BB"/>
    <w:rsid w:val="00765045"/>
    <w:rsid w:val="007661C8"/>
    <w:rsid w:val="007669E7"/>
    <w:rsid w:val="00767577"/>
    <w:rsid w:val="0077098D"/>
    <w:rsid w:val="00774F01"/>
    <w:rsid w:val="00783EC6"/>
    <w:rsid w:val="007931FA"/>
    <w:rsid w:val="007963D3"/>
    <w:rsid w:val="00797C5E"/>
    <w:rsid w:val="007A032A"/>
    <w:rsid w:val="007A4861"/>
    <w:rsid w:val="007A7BBA"/>
    <w:rsid w:val="007B0C50"/>
    <w:rsid w:val="007B48F9"/>
    <w:rsid w:val="007C1A43"/>
    <w:rsid w:val="007C42C7"/>
    <w:rsid w:val="007D0951"/>
    <w:rsid w:val="007D0D31"/>
    <w:rsid w:val="007E6721"/>
    <w:rsid w:val="007F3EFF"/>
    <w:rsid w:val="007F444A"/>
    <w:rsid w:val="007F6827"/>
    <w:rsid w:val="007F7496"/>
    <w:rsid w:val="007F7542"/>
    <w:rsid w:val="0080013E"/>
    <w:rsid w:val="00802621"/>
    <w:rsid w:val="008026F1"/>
    <w:rsid w:val="008041AB"/>
    <w:rsid w:val="00813288"/>
    <w:rsid w:val="008168FC"/>
    <w:rsid w:val="0082244E"/>
    <w:rsid w:val="00822769"/>
    <w:rsid w:val="00830996"/>
    <w:rsid w:val="008345F1"/>
    <w:rsid w:val="00843EAC"/>
    <w:rsid w:val="00844FC9"/>
    <w:rsid w:val="008507EA"/>
    <w:rsid w:val="008525FA"/>
    <w:rsid w:val="00852C0A"/>
    <w:rsid w:val="00857702"/>
    <w:rsid w:val="00865B07"/>
    <w:rsid w:val="0086667D"/>
    <w:rsid w:val="008667EA"/>
    <w:rsid w:val="00872A79"/>
    <w:rsid w:val="0087637F"/>
    <w:rsid w:val="00876E1B"/>
    <w:rsid w:val="00880D75"/>
    <w:rsid w:val="008923DD"/>
    <w:rsid w:val="008925A6"/>
    <w:rsid w:val="00892AD5"/>
    <w:rsid w:val="00896223"/>
    <w:rsid w:val="00896D52"/>
    <w:rsid w:val="008A1512"/>
    <w:rsid w:val="008B0830"/>
    <w:rsid w:val="008B7C03"/>
    <w:rsid w:val="008C625A"/>
    <w:rsid w:val="008D32B9"/>
    <w:rsid w:val="008D433B"/>
    <w:rsid w:val="008D484E"/>
    <w:rsid w:val="008D4A16"/>
    <w:rsid w:val="008E566E"/>
    <w:rsid w:val="008F0DF9"/>
    <w:rsid w:val="0090161A"/>
    <w:rsid w:val="00901EB6"/>
    <w:rsid w:val="00904C62"/>
    <w:rsid w:val="00907B91"/>
    <w:rsid w:val="00917C12"/>
    <w:rsid w:val="00922BA8"/>
    <w:rsid w:val="00924DAC"/>
    <w:rsid w:val="00925B45"/>
    <w:rsid w:val="00927058"/>
    <w:rsid w:val="00931E10"/>
    <w:rsid w:val="00932818"/>
    <w:rsid w:val="00942750"/>
    <w:rsid w:val="009450CE"/>
    <w:rsid w:val="009459BB"/>
    <w:rsid w:val="00947179"/>
    <w:rsid w:val="0095164B"/>
    <w:rsid w:val="009532BE"/>
    <w:rsid w:val="00954090"/>
    <w:rsid w:val="00956A09"/>
    <w:rsid w:val="009573E7"/>
    <w:rsid w:val="0096254D"/>
    <w:rsid w:val="00963E05"/>
    <w:rsid w:val="00964A45"/>
    <w:rsid w:val="009662C2"/>
    <w:rsid w:val="00967843"/>
    <w:rsid w:val="00967D54"/>
    <w:rsid w:val="00971028"/>
    <w:rsid w:val="00984BE9"/>
    <w:rsid w:val="00993B84"/>
    <w:rsid w:val="00993FD3"/>
    <w:rsid w:val="00996483"/>
    <w:rsid w:val="00996F5A"/>
    <w:rsid w:val="009A7AE3"/>
    <w:rsid w:val="009B041A"/>
    <w:rsid w:val="009B4132"/>
    <w:rsid w:val="009B6F2B"/>
    <w:rsid w:val="009C37C3"/>
    <w:rsid w:val="009C7C86"/>
    <w:rsid w:val="009D2169"/>
    <w:rsid w:val="009D2FF7"/>
    <w:rsid w:val="009D3F2D"/>
    <w:rsid w:val="009E7884"/>
    <w:rsid w:val="009E788A"/>
    <w:rsid w:val="009E79F0"/>
    <w:rsid w:val="009F0E08"/>
    <w:rsid w:val="00A01018"/>
    <w:rsid w:val="00A0711F"/>
    <w:rsid w:val="00A1080F"/>
    <w:rsid w:val="00A12CA6"/>
    <w:rsid w:val="00A16ECB"/>
    <w:rsid w:val="00A1763D"/>
    <w:rsid w:val="00A17CEC"/>
    <w:rsid w:val="00A17FD7"/>
    <w:rsid w:val="00A24B15"/>
    <w:rsid w:val="00A258F1"/>
    <w:rsid w:val="00A27EF0"/>
    <w:rsid w:val="00A30F58"/>
    <w:rsid w:val="00A31834"/>
    <w:rsid w:val="00A40F8F"/>
    <w:rsid w:val="00A42361"/>
    <w:rsid w:val="00A457D4"/>
    <w:rsid w:val="00A476C2"/>
    <w:rsid w:val="00A50B20"/>
    <w:rsid w:val="00A51390"/>
    <w:rsid w:val="00A530B4"/>
    <w:rsid w:val="00A55DFB"/>
    <w:rsid w:val="00A5670D"/>
    <w:rsid w:val="00A57371"/>
    <w:rsid w:val="00A57E92"/>
    <w:rsid w:val="00A60D13"/>
    <w:rsid w:val="00A648F8"/>
    <w:rsid w:val="00A7223D"/>
    <w:rsid w:val="00A72745"/>
    <w:rsid w:val="00A745A9"/>
    <w:rsid w:val="00A762AB"/>
    <w:rsid w:val="00A76EFC"/>
    <w:rsid w:val="00A87D50"/>
    <w:rsid w:val="00A91010"/>
    <w:rsid w:val="00A93778"/>
    <w:rsid w:val="00A93CD9"/>
    <w:rsid w:val="00A954E1"/>
    <w:rsid w:val="00A97F29"/>
    <w:rsid w:val="00AA0A9A"/>
    <w:rsid w:val="00AA1F60"/>
    <w:rsid w:val="00AA378B"/>
    <w:rsid w:val="00AA702E"/>
    <w:rsid w:val="00AA7D26"/>
    <w:rsid w:val="00AB0964"/>
    <w:rsid w:val="00AB5011"/>
    <w:rsid w:val="00AB6E88"/>
    <w:rsid w:val="00AC7368"/>
    <w:rsid w:val="00AD16B9"/>
    <w:rsid w:val="00AE377D"/>
    <w:rsid w:val="00AE674E"/>
    <w:rsid w:val="00AF0EBA"/>
    <w:rsid w:val="00B00050"/>
    <w:rsid w:val="00B01836"/>
    <w:rsid w:val="00B02C8A"/>
    <w:rsid w:val="00B145F6"/>
    <w:rsid w:val="00B17FBD"/>
    <w:rsid w:val="00B2057D"/>
    <w:rsid w:val="00B315A6"/>
    <w:rsid w:val="00B31725"/>
    <w:rsid w:val="00B31813"/>
    <w:rsid w:val="00B32169"/>
    <w:rsid w:val="00B33365"/>
    <w:rsid w:val="00B3398C"/>
    <w:rsid w:val="00B366D1"/>
    <w:rsid w:val="00B4592C"/>
    <w:rsid w:val="00B50AC6"/>
    <w:rsid w:val="00B56942"/>
    <w:rsid w:val="00B57B36"/>
    <w:rsid w:val="00B57C20"/>
    <w:rsid w:val="00B57E6F"/>
    <w:rsid w:val="00B67698"/>
    <w:rsid w:val="00B715E4"/>
    <w:rsid w:val="00B80AD1"/>
    <w:rsid w:val="00B83D8C"/>
    <w:rsid w:val="00B84E0B"/>
    <w:rsid w:val="00B8686D"/>
    <w:rsid w:val="00B909E1"/>
    <w:rsid w:val="00B93F69"/>
    <w:rsid w:val="00BA2A5B"/>
    <w:rsid w:val="00BA6726"/>
    <w:rsid w:val="00BA73E3"/>
    <w:rsid w:val="00BB0B7B"/>
    <w:rsid w:val="00BB1DDC"/>
    <w:rsid w:val="00BB3280"/>
    <w:rsid w:val="00BC2DA4"/>
    <w:rsid w:val="00BC2EA9"/>
    <w:rsid w:val="00BC30C9"/>
    <w:rsid w:val="00BC6E77"/>
    <w:rsid w:val="00BD077D"/>
    <w:rsid w:val="00BE23C2"/>
    <w:rsid w:val="00BE3E58"/>
    <w:rsid w:val="00BE4511"/>
    <w:rsid w:val="00BE65CD"/>
    <w:rsid w:val="00BE6C2D"/>
    <w:rsid w:val="00BF07F4"/>
    <w:rsid w:val="00BF1E24"/>
    <w:rsid w:val="00BF6765"/>
    <w:rsid w:val="00C01616"/>
    <w:rsid w:val="00C0162B"/>
    <w:rsid w:val="00C019D4"/>
    <w:rsid w:val="00C068ED"/>
    <w:rsid w:val="00C14883"/>
    <w:rsid w:val="00C17BFD"/>
    <w:rsid w:val="00C22E0C"/>
    <w:rsid w:val="00C25499"/>
    <w:rsid w:val="00C26E19"/>
    <w:rsid w:val="00C345B1"/>
    <w:rsid w:val="00C36DB2"/>
    <w:rsid w:val="00C40142"/>
    <w:rsid w:val="00C478B0"/>
    <w:rsid w:val="00C525B0"/>
    <w:rsid w:val="00C52C3C"/>
    <w:rsid w:val="00C57182"/>
    <w:rsid w:val="00C57863"/>
    <w:rsid w:val="00C61708"/>
    <w:rsid w:val="00C6245F"/>
    <w:rsid w:val="00C640AF"/>
    <w:rsid w:val="00C655FD"/>
    <w:rsid w:val="00C705F7"/>
    <w:rsid w:val="00C75407"/>
    <w:rsid w:val="00C84D6E"/>
    <w:rsid w:val="00C870A8"/>
    <w:rsid w:val="00C94434"/>
    <w:rsid w:val="00CA0D4A"/>
    <w:rsid w:val="00CA0D75"/>
    <w:rsid w:val="00CA1C95"/>
    <w:rsid w:val="00CA4C12"/>
    <w:rsid w:val="00CA5A9C"/>
    <w:rsid w:val="00CA66DD"/>
    <w:rsid w:val="00CB7BD6"/>
    <w:rsid w:val="00CC144D"/>
    <w:rsid w:val="00CC440B"/>
    <w:rsid w:val="00CC4C20"/>
    <w:rsid w:val="00CC6DA0"/>
    <w:rsid w:val="00CD1EFB"/>
    <w:rsid w:val="00CD3517"/>
    <w:rsid w:val="00CD3853"/>
    <w:rsid w:val="00CD4EBF"/>
    <w:rsid w:val="00CD5FE2"/>
    <w:rsid w:val="00CE458D"/>
    <w:rsid w:val="00CE7C68"/>
    <w:rsid w:val="00D00E54"/>
    <w:rsid w:val="00D02B4C"/>
    <w:rsid w:val="00D040C4"/>
    <w:rsid w:val="00D07DD1"/>
    <w:rsid w:val="00D16D01"/>
    <w:rsid w:val="00D20AD1"/>
    <w:rsid w:val="00D2243A"/>
    <w:rsid w:val="00D34533"/>
    <w:rsid w:val="00D40DF0"/>
    <w:rsid w:val="00D46B7E"/>
    <w:rsid w:val="00D569AB"/>
    <w:rsid w:val="00D57C84"/>
    <w:rsid w:val="00D6057D"/>
    <w:rsid w:val="00D648EC"/>
    <w:rsid w:val="00D71640"/>
    <w:rsid w:val="00D731A4"/>
    <w:rsid w:val="00D80D07"/>
    <w:rsid w:val="00D836C5"/>
    <w:rsid w:val="00D84576"/>
    <w:rsid w:val="00D846E7"/>
    <w:rsid w:val="00D84849"/>
    <w:rsid w:val="00D90156"/>
    <w:rsid w:val="00D92C6A"/>
    <w:rsid w:val="00DA1399"/>
    <w:rsid w:val="00DA24C6"/>
    <w:rsid w:val="00DA3071"/>
    <w:rsid w:val="00DA4D7B"/>
    <w:rsid w:val="00DB1099"/>
    <w:rsid w:val="00DC78C2"/>
    <w:rsid w:val="00DD271C"/>
    <w:rsid w:val="00DE175F"/>
    <w:rsid w:val="00DE1A0D"/>
    <w:rsid w:val="00DE1C5A"/>
    <w:rsid w:val="00DE264A"/>
    <w:rsid w:val="00DE3281"/>
    <w:rsid w:val="00DF0BA0"/>
    <w:rsid w:val="00DF5072"/>
    <w:rsid w:val="00E02D18"/>
    <w:rsid w:val="00E041E7"/>
    <w:rsid w:val="00E11894"/>
    <w:rsid w:val="00E23CA1"/>
    <w:rsid w:val="00E263FD"/>
    <w:rsid w:val="00E33DD7"/>
    <w:rsid w:val="00E346BC"/>
    <w:rsid w:val="00E409A8"/>
    <w:rsid w:val="00E42E72"/>
    <w:rsid w:val="00E50517"/>
    <w:rsid w:val="00E50C12"/>
    <w:rsid w:val="00E61C7F"/>
    <w:rsid w:val="00E65B91"/>
    <w:rsid w:val="00E71BC7"/>
    <w:rsid w:val="00E7209D"/>
    <w:rsid w:val="00E72EAD"/>
    <w:rsid w:val="00E74B50"/>
    <w:rsid w:val="00E77223"/>
    <w:rsid w:val="00E8528B"/>
    <w:rsid w:val="00E85B94"/>
    <w:rsid w:val="00E91B6E"/>
    <w:rsid w:val="00E978D0"/>
    <w:rsid w:val="00EA4613"/>
    <w:rsid w:val="00EA7F91"/>
    <w:rsid w:val="00EB1523"/>
    <w:rsid w:val="00EB3DB7"/>
    <w:rsid w:val="00EC0E49"/>
    <w:rsid w:val="00EC101F"/>
    <w:rsid w:val="00EC1D9F"/>
    <w:rsid w:val="00ED065F"/>
    <w:rsid w:val="00ED70BA"/>
    <w:rsid w:val="00EE0131"/>
    <w:rsid w:val="00EE17B0"/>
    <w:rsid w:val="00EF06D9"/>
    <w:rsid w:val="00EF36D2"/>
    <w:rsid w:val="00F003FB"/>
    <w:rsid w:val="00F04BC9"/>
    <w:rsid w:val="00F2336D"/>
    <w:rsid w:val="00F3049E"/>
    <w:rsid w:val="00F30C64"/>
    <w:rsid w:val="00F32BA2"/>
    <w:rsid w:val="00F32CDB"/>
    <w:rsid w:val="00F34050"/>
    <w:rsid w:val="00F4466C"/>
    <w:rsid w:val="00F565FE"/>
    <w:rsid w:val="00F57034"/>
    <w:rsid w:val="00F60021"/>
    <w:rsid w:val="00F63065"/>
    <w:rsid w:val="00F63A70"/>
    <w:rsid w:val="00F63D8C"/>
    <w:rsid w:val="00F6463F"/>
    <w:rsid w:val="00F64904"/>
    <w:rsid w:val="00F7534E"/>
    <w:rsid w:val="00F82827"/>
    <w:rsid w:val="00F930D5"/>
    <w:rsid w:val="00F93EDF"/>
    <w:rsid w:val="00FA1802"/>
    <w:rsid w:val="00FA21D0"/>
    <w:rsid w:val="00FA585F"/>
    <w:rsid w:val="00FA5F5F"/>
    <w:rsid w:val="00FA632A"/>
    <w:rsid w:val="00FB0BCD"/>
    <w:rsid w:val="00FB2591"/>
    <w:rsid w:val="00FB730C"/>
    <w:rsid w:val="00FC2695"/>
    <w:rsid w:val="00FC3E03"/>
    <w:rsid w:val="00FC3FC1"/>
    <w:rsid w:val="00FC43A1"/>
    <w:rsid w:val="00FC5BBE"/>
    <w:rsid w:val="00FF1497"/>
    <w:rsid w:val="00FF1544"/>
    <w:rsid w:val="00FF5F9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E59E7"/>
    <w:pPr>
      <w:keepNext/>
      <w:numPr>
        <w:ilvl w:val="2"/>
        <w:numId w:val="1"/>
      </w:numPr>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E59E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33810">
      <w:bodyDiv w:val="1"/>
      <w:marLeft w:val="0"/>
      <w:marRight w:val="0"/>
      <w:marTop w:val="0"/>
      <w:marBottom w:val="0"/>
      <w:divBdr>
        <w:top w:val="none" w:sz="0" w:space="0" w:color="auto"/>
        <w:left w:val="none" w:sz="0" w:space="0" w:color="auto"/>
        <w:bottom w:val="none" w:sz="0" w:space="0" w:color="auto"/>
        <w:right w:val="none" w:sz="0" w:space="0" w:color="auto"/>
      </w:divBdr>
    </w:div>
    <w:div w:id="291332598">
      <w:bodyDiv w:val="1"/>
      <w:marLeft w:val="0"/>
      <w:marRight w:val="0"/>
      <w:marTop w:val="0"/>
      <w:marBottom w:val="0"/>
      <w:divBdr>
        <w:top w:val="none" w:sz="0" w:space="0" w:color="auto"/>
        <w:left w:val="none" w:sz="0" w:space="0" w:color="auto"/>
        <w:bottom w:val="none" w:sz="0" w:space="0" w:color="auto"/>
        <w:right w:val="none" w:sz="0" w:space="0" w:color="auto"/>
      </w:divBdr>
    </w:div>
    <w:div w:id="463961683">
      <w:bodyDiv w:val="1"/>
      <w:marLeft w:val="0"/>
      <w:marRight w:val="0"/>
      <w:marTop w:val="0"/>
      <w:marBottom w:val="0"/>
      <w:divBdr>
        <w:top w:val="none" w:sz="0" w:space="0" w:color="auto"/>
        <w:left w:val="none" w:sz="0" w:space="0" w:color="auto"/>
        <w:bottom w:val="none" w:sz="0" w:space="0" w:color="auto"/>
        <w:right w:val="none" w:sz="0" w:space="0" w:color="auto"/>
      </w:divBdr>
    </w:div>
    <w:div w:id="60820015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492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987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'Noviembre 21'!$AD$14:$AD$15</c:f>
              <c:strCache>
                <c:ptCount val="2"/>
                <c:pt idx="0">
                  <c:v>BS</c:v>
                </c:pt>
              </c:strCache>
            </c:strRef>
          </c:tx>
          <c:spPr>
            <a:solidFill>
              <a:schemeClr val="accent1"/>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21'!$AD$16:$AD$28</c:f>
              <c:numCache>
                <c:formatCode>General</c:formatCode>
                <c:ptCount val="13"/>
                <c:pt idx="0">
                  <c:v>24.3</c:v>
                </c:pt>
                <c:pt idx="1">
                  <c:v>23.2</c:v>
                </c:pt>
                <c:pt idx="2">
                  <c:v>22.2</c:v>
                </c:pt>
                <c:pt idx="3">
                  <c:v>20.399999999999999</c:v>
                </c:pt>
                <c:pt idx="4">
                  <c:v>17.100000000000001</c:v>
                </c:pt>
                <c:pt idx="5">
                  <c:v>15.9</c:v>
                </c:pt>
                <c:pt idx="6">
                  <c:v>15.3</c:v>
                </c:pt>
                <c:pt idx="7">
                  <c:v>13.9</c:v>
                </c:pt>
                <c:pt idx="8">
                  <c:v>10.6</c:v>
                </c:pt>
                <c:pt idx="9">
                  <c:v>9.9</c:v>
                </c:pt>
                <c:pt idx="10">
                  <c:v>10</c:v>
                </c:pt>
                <c:pt idx="11">
                  <c:v>10.199999999999999</c:v>
                </c:pt>
                <c:pt idx="12">
                  <c:v>10</c:v>
                </c:pt>
              </c:numCache>
            </c:numRef>
          </c:val>
          <c:extLst>
            <c:ext xmlns:c16="http://schemas.microsoft.com/office/drawing/2014/chart" uri="{C3380CC4-5D6E-409C-BE32-E72D297353CC}">
              <c16:uniqueId val="{00000000-5035-434A-BF16-B24E88E1AF8F}"/>
            </c:ext>
          </c:extLst>
        </c:ser>
        <c:ser>
          <c:idx val="1"/>
          <c:order val="1"/>
          <c:tx>
            <c:strRef>
              <c:f>'Noviembre 21'!$AE$14:$AE$15</c:f>
              <c:strCache>
                <c:ptCount val="2"/>
                <c:pt idx="0">
                  <c:v>BA</c:v>
                </c:pt>
              </c:strCache>
            </c:strRef>
          </c:tx>
          <c:spPr>
            <a:solidFill>
              <a:schemeClr val="accent2"/>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21'!$AE$16:$AE$28</c:f>
              <c:numCache>
                <c:formatCode>General</c:formatCode>
                <c:ptCount val="13"/>
                <c:pt idx="0">
                  <c:v>24.9</c:v>
                </c:pt>
                <c:pt idx="1">
                  <c:v>22.9</c:v>
                </c:pt>
                <c:pt idx="2">
                  <c:v>22.2</c:v>
                </c:pt>
                <c:pt idx="3">
                  <c:v>19.5</c:v>
                </c:pt>
                <c:pt idx="4">
                  <c:v>17.100000000000001</c:v>
                </c:pt>
                <c:pt idx="5">
                  <c:v>15.1</c:v>
                </c:pt>
                <c:pt idx="6">
                  <c:v>14.5</c:v>
                </c:pt>
                <c:pt idx="7">
                  <c:v>12.2</c:v>
                </c:pt>
                <c:pt idx="8">
                  <c:v>9.6999999999999993</c:v>
                </c:pt>
                <c:pt idx="9">
                  <c:v>9.6</c:v>
                </c:pt>
                <c:pt idx="10">
                  <c:v>9.5</c:v>
                </c:pt>
                <c:pt idx="11">
                  <c:v>9</c:v>
                </c:pt>
                <c:pt idx="12">
                  <c:v>8.8000000000000007</c:v>
                </c:pt>
              </c:numCache>
            </c:numRef>
          </c:val>
          <c:extLst>
            <c:ext xmlns:c16="http://schemas.microsoft.com/office/drawing/2014/chart" uri="{C3380CC4-5D6E-409C-BE32-E72D297353CC}">
              <c16:uniqueId val="{00000001-5035-434A-BF16-B24E88E1AF8F}"/>
            </c:ext>
          </c:extLst>
        </c:ser>
        <c:ser>
          <c:idx val="2"/>
          <c:order val="2"/>
          <c:tx>
            <c:strRef>
              <c:f>'Noviembre 21'!$AF$14:$AF$15</c:f>
              <c:strCache>
                <c:ptCount val="2"/>
                <c:pt idx="0">
                  <c:v> BJ</c:v>
                </c:pt>
              </c:strCache>
            </c:strRef>
          </c:tx>
          <c:spPr>
            <a:solidFill>
              <a:schemeClr val="accent3"/>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21'!$AF$16:$AF$28</c:f>
              <c:numCache>
                <c:formatCode>General</c:formatCode>
                <c:ptCount val="13"/>
                <c:pt idx="0">
                  <c:v>24.5</c:v>
                </c:pt>
                <c:pt idx="1">
                  <c:v>23.6</c:v>
                </c:pt>
                <c:pt idx="2">
                  <c:v>22.1</c:v>
                </c:pt>
                <c:pt idx="3">
                  <c:v>20</c:v>
                </c:pt>
                <c:pt idx="4">
                  <c:v>16.2</c:v>
                </c:pt>
                <c:pt idx="5">
                  <c:v>15</c:v>
                </c:pt>
                <c:pt idx="6">
                  <c:v>14.2</c:v>
                </c:pt>
                <c:pt idx="7">
                  <c:v>13.9</c:v>
                </c:pt>
                <c:pt idx="8">
                  <c:v>10.199999999999999</c:v>
                </c:pt>
                <c:pt idx="9">
                  <c:v>10.1</c:v>
                </c:pt>
                <c:pt idx="10">
                  <c:v>9.6999999999999993</c:v>
                </c:pt>
                <c:pt idx="11">
                  <c:v>10.1</c:v>
                </c:pt>
                <c:pt idx="12">
                  <c:v>10</c:v>
                </c:pt>
              </c:numCache>
            </c:numRef>
          </c:val>
          <c:extLst>
            <c:ext xmlns:c16="http://schemas.microsoft.com/office/drawing/2014/chart" uri="{C3380CC4-5D6E-409C-BE32-E72D297353CC}">
              <c16:uniqueId val="{00000002-5035-434A-BF16-B24E88E1AF8F}"/>
            </c:ext>
          </c:extLst>
        </c:ser>
        <c:ser>
          <c:idx val="3"/>
          <c:order val="3"/>
          <c:tx>
            <c:strRef>
              <c:f>'Noviembre 21'!$AG$14:$AG$15</c:f>
              <c:strCache>
                <c:ptCount val="2"/>
                <c:pt idx="0">
                  <c:v>CS</c:v>
                </c:pt>
              </c:strCache>
            </c:strRef>
          </c:tx>
          <c:spPr>
            <a:solidFill>
              <a:schemeClr val="accent4"/>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21'!$AG$16:$AG$28</c:f>
              <c:numCache>
                <c:formatCode>General</c:formatCode>
                <c:ptCount val="13"/>
                <c:pt idx="0">
                  <c:v>24.3</c:v>
                </c:pt>
                <c:pt idx="1">
                  <c:v>23.3</c:v>
                </c:pt>
                <c:pt idx="2">
                  <c:v>22.1</c:v>
                </c:pt>
                <c:pt idx="3">
                  <c:v>20.399999999999999</c:v>
                </c:pt>
                <c:pt idx="4">
                  <c:v>15.9</c:v>
                </c:pt>
                <c:pt idx="5">
                  <c:v>15.2</c:v>
                </c:pt>
                <c:pt idx="6">
                  <c:v>14.5</c:v>
                </c:pt>
                <c:pt idx="7">
                  <c:v>13</c:v>
                </c:pt>
                <c:pt idx="8">
                  <c:v>11</c:v>
                </c:pt>
                <c:pt idx="9">
                  <c:v>10.7</c:v>
                </c:pt>
                <c:pt idx="10">
                  <c:v>10.6</c:v>
                </c:pt>
                <c:pt idx="11">
                  <c:v>9.8000000000000007</c:v>
                </c:pt>
                <c:pt idx="12">
                  <c:v>9.8000000000000007</c:v>
                </c:pt>
              </c:numCache>
            </c:numRef>
          </c:val>
          <c:extLst>
            <c:ext xmlns:c16="http://schemas.microsoft.com/office/drawing/2014/chart" uri="{C3380CC4-5D6E-409C-BE32-E72D297353CC}">
              <c16:uniqueId val="{00000003-5035-434A-BF16-B24E88E1AF8F}"/>
            </c:ext>
          </c:extLst>
        </c:ser>
        <c:ser>
          <c:idx val="4"/>
          <c:order val="4"/>
          <c:tx>
            <c:strRef>
              <c:f>'Noviembre 21'!$AH$14:$AH$15</c:f>
              <c:strCache>
                <c:ptCount val="2"/>
                <c:pt idx="0">
                  <c:v>CA</c:v>
                </c:pt>
              </c:strCache>
            </c:strRef>
          </c:tx>
          <c:spPr>
            <a:solidFill>
              <a:schemeClr val="accent5"/>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21'!$AH$16:$AH$28</c:f>
              <c:numCache>
                <c:formatCode>General</c:formatCode>
                <c:ptCount val="13"/>
                <c:pt idx="0">
                  <c:v>24.9</c:v>
                </c:pt>
                <c:pt idx="1">
                  <c:v>22.9</c:v>
                </c:pt>
                <c:pt idx="2">
                  <c:v>21.4</c:v>
                </c:pt>
                <c:pt idx="3">
                  <c:v>19.399999999999999</c:v>
                </c:pt>
                <c:pt idx="4">
                  <c:v>14.2</c:v>
                </c:pt>
                <c:pt idx="5">
                  <c:v>14.1</c:v>
                </c:pt>
                <c:pt idx="6">
                  <c:v>13.8</c:v>
                </c:pt>
                <c:pt idx="7">
                  <c:v>11.8</c:v>
                </c:pt>
                <c:pt idx="8">
                  <c:v>9.8000000000000007</c:v>
                </c:pt>
                <c:pt idx="9">
                  <c:v>9.5</c:v>
                </c:pt>
                <c:pt idx="10">
                  <c:v>9.6</c:v>
                </c:pt>
                <c:pt idx="11">
                  <c:v>9.5</c:v>
                </c:pt>
                <c:pt idx="12">
                  <c:v>9.5</c:v>
                </c:pt>
              </c:numCache>
            </c:numRef>
          </c:val>
          <c:extLst>
            <c:ext xmlns:c16="http://schemas.microsoft.com/office/drawing/2014/chart" uri="{C3380CC4-5D6E-409C-BE32-E72D297353CC}">
              <c16:uniqueId val="{00000004-5035-434A-BF16-B24E88E1AF8F}"/>
            </c:ext>
          </c:extLst>
        </c:ser>
        <c:ser>
          <c:idx val="5"/>
          <c:order val="5"/>
          <c:tx>
            <c:strRef>
              <c:f>'Noviembre 21'!$AI$14:$AI$15</c:f>
              <c:strCache>
                <c:ptCount val="2"/>
                <c:pt idx="0">
                  <c:v>CJ</c:v>
                </c:pt>
              </c:strCache>
            </c:strRef>
          </c:tx>
          <c:spPr>
            <a:solidFill>
              <a:schemeClr val="accent6"/>
            </a:solidFill>
            <a:ln>
              <a:noFill/>
            </a:ln>
            <a:effectLst/>
          </c:spPr>
          <c:invertIfNegative val="0"/>
          <c:cat>
            <c:numRef>
              <c:f>'Noviembre 21'!$AC$16:$AC$28</c:f>
              <c:numCache>
                <c:formatCode>0</c:formatCode>
                <c:ptCount val="13"/>
                <c:pt idx="0">
                  <c:v>0</c:v>
                </c:pt>
                <c:pt idx="1">
                  <c:v>26.666666666666668</c:v>
                </c:pt>
                <c:pt idx="2">
                  <c:v>46.500000000000007</c:v>
                </c:pt>
                <c:pt idx="3">
                  <c:v>73.333333333333329</c:v>
                </c:pt>
                <c:pt idx="4">
                  <c:v>139.99999999999997</c:v>
                </c:pt>
                <c:pt idx="5">
                  <c:v>163.89999999999998</c:v>
                </c:pt>
                <c:pt idx="6">
                  <c:v>188.6333333333333</c:v>
                </c:pt>
                <c:pt idx="7">
                  <c:v>236.6333333333333</c:v>
                </c:pt>
                <c:pt idx="8">
                  <c:v>309.3</c:v>
                </c:pt>
                <c:pt idx="9">
                  <c:v>332.13333333333333</c:v>
                </c:pt>
                <c:pt idx="10">
                  <c:v>356.13333333333333</c:v>
                </c:pt>
                <c:pt idx="11">
                  <c:v>499.63333333333333</c:v>
                </c:pt>
                <c:pt idx="12">
                  <c:v>547.63333333333333</c:v>
                </c:pt>
              </c:numCache>
            </c:numRef>
          </c:cat>
          <c:val>
            <c:numRef>
              <c:f>'Noviembre 21'!$AI$16:$AI$28</c:f>
              <c:numCache>
                <c:formatCode>General</c:formatCode>
                <c:ptCount val="13"/>
                <c:pt idx="0">
                  <c:v>24.5</c:v>
                </c:pt>
                <c:pt idx="1">
                  <c:v>23.5</c:v>
                </c:pt>
                <c:pt idx="2">
                  <c:v>22.1</c:v>
                </c:pt>
                <c:pt idx="3">
                  <c:v>19.899999999999999</c:v>
                </c:pt>
                <c:pt idx="4">
                  <c:v>15.4</c:v>
                </c:pt>
                <c:pt idx="5">
                  <c:v>14.7</c:v>
                </c:pt>
                <c:pt idx="6">
                  <c:v>13.9</c:v>
                </c:pt>
                <c:pt idx="7">
                  <c:v>12.4</c:v>
                </c:pt>
                <c:pt idx="8">
                  <c:v>9.8000000000000007</c:v>
                </c:pt>
                <c:pt idx="9">
                  <c:v>10.199999999999999</c:v>
                </c:pt>
                <c:pt idx="10">
                  <c:v>9.6999999999999993</c:v>
                </c:pt>
                <c:pt idx="11">
                  <c:v>10</c:v>
                </c:pt>
                <c:pt idx="12">
                  <c:v>10.3</c:v>
                </c:pt>
              </c:numCache>
            </c:numRef>
          </c:val>
          <c:extLst>
            <c:ext xmlns:c16="http://schemas.microsoft.com/office/drawing/2014/chart" uri="{C3380CC4-5D6E-409C-BE32-E72D297353CC}">
              <c16:uniqueId val="{00000005-5035-434A-BF16-B24E88E1AF8F}"/>
            </c:ext>
          </c:extLst>
        </c:ser>
        <c:dLbls>
          <c:showLegendKey val="0"/>
          <c:showVal val="0"/>
          <c:showCatName val="0"/>
          <c:showSerName val="0"/>
          <c:showPercent val="0"/>
          <c:showBubbleSize val="0"/>
        </c:dLbls>
        <c:gapWidth val="150"/>
        <c:axId val="735688520"/>
        <c:axId val="735689600"/>
      </c:barChart>
      <c:catAx>
        <c:axId val="7356885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600" cap="none" baseline="0">
                    <a:solidFill>
                      <a:schemeClr val="tx1"/>
                    </a:solidFill>
                  </a:rPr>
                  <a:t>Fermentation time (h)</a:t>
                </a:r>
              </a:p>
            </c:rich>
          </c:tx>
          <c:layout>
            <c:manualLayout>
              <c:xMode val="edge"/>
              <c:yMode val="edge"/>
              <c:x val="0.35218606441463673"/>
              <c:y val="0.6856800543816913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s-CO"/>
          </a:p>
        </c:txPr>
        <c:crossAx val="735689600"/>
        <c:crosses val="autoZero"/>
        <c:auto val="1"/>
        <c:lblAlgn val="ctr"/>
        <c:lblOffset val="100"/>
        <c:noMultiLvlLbl val="1"/>
      </c:catAx>
      <c:valAx>
        <c:axId val="735689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700" b="0" cap="none" normalizeH="0" baseline="0">
                    <a:solidFill>
                      <a:schemeClr val="tx1"/>
                    </a:solidFill>
                  </a:rPr>
                  <a:t>Total soluble solids (°Bx)</a:t>
                </a:r>
              </a:p>
            </c:rich>
          </c:tx>
          <c:layout>
            <c:manualLayout>
              <c:xMode val="edge"/>
              <c:yMode val="edge"/>
              <c:x val="3.8965639390719092E-2"/>
              <c:y val="0"/>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cross"/>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735688520"/>
        <c:crosses val="autoZero"/>
        <c:crossBetween val="between"/>
      </c:valAx>
      <c:spPr>
        <a:noFill/>
        <a:ln>
          <a:noFill/>
        </a:ln>
        <a:effectLst/>
      </c:spPr>
    </c:plotArea>
    <c:legend>
      <c:legendPos val="b"/>
      <c:layout>
        <c:manualLayout>
          <c:xMode val="edge"/>
          <c:yMode val="edge"/>
          <c:x val="0.20988812370823468"/>
          <c:y val="0.75990539851583305"/>
          <c:w val="0.46386480473678404"/>
          <c:h val="0.104546412332261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10978</Words>
  <Characters>60382</Characters>
  <Application>Microsoft Office Word</Application>
  <DocSecurity>0</DocSecurity>
  <Lines>503</Lines>
  <Paragraphs>142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71218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Martha Cuenca</cp:lastModifiedBy>
  <cp:revision>2</cp:revision>
  <cp:lastPrinted>2015-05-12T18:31:00Z</cp:lastPrinted>
  <dcterms:created xsi:type="dcterms:W3CDTF">2024-02-20T20:27:00Z</dcterms:created>
  <dcterms:modified xsi:type="dcterms:W3CDTF">2024-02-20T20:27:00Z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https://csl.mendeley.com/styles/460025091/ieee-jsdewes</vt:lpwstr>
  </property>
  <property fmtid="{D5CDD505-2E9C-101B-9397-08002B2CF9AE}" pid="17" name="Mendeley Recent Style Name 6_1">
    <vt:lpwstr>IEEE - JSDEWES</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5835b023-72c3-3f07-bca7-ec364861b9bc</vt:lpwstr>
  </property>
  <property fmtid="{D5CDD505-2E9C-101B-9397-08002B2CF9AE}" pid="26" name="Mendeley Citation Style_1">
    <vt:lpwstr>http://www.zotero.org/styles/apa</vt:lpwstr>
  </property>
</Properties>
</file>